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199A" w:rsidRPr="00B06CBD" w:rsidRDefault="0088199A" w:rsidP="0088199A">
      <w:pPr>
        <w:pStyle w:val="a3"/>
        <w:shd w:val="clear" w:color="auto" w:fill="FFFFFF"/>
        <w:spacing w:before="0" w:beforeAutospacing="0" w:after="0" w:afterAutospacing="0"/>
        <w:jc w:val="center"/>
        <w:rPr>
          <w:rFonts w:asciiTheme="majorEastAsia" w:eastAsiaTheme="majorEastAsia" w:hAnsiTheme="majorEastAsia"/>
          <w:b/>
          <w:color w:val="444444"/>
          <w:sz w:val="44"/>
          <w:szCs w:val="44"/>
        </w:rPr>
      </w:pPr>
      <w:r>
        <w:rPr>
          <w:rFonts w:asciiTheme="majorEastAsia" w:eastAsiaTheme="majorEastAsia" w:hAnsiTheme="majorEastAsia" w:hint="eastAsia"/>
          <w:b/>
          <w:color w:val="444444"/>
          <w:sz w:val="44"/>
          <w:szCs w:val="44"/>
        </w:rPr>
        <w:t>高新区运输管理处</w:t>
      </w:r>
      <w:r w:rsidRPr="00B06CBD">
        <w:rPr>
          <w:rFonts w:asciiTheme="majorEastAsia" w:eastAsiaTheme="majorEastAsia" w:hAnsiTheme="majorEastAsia"/>
          <w:b/>
          <w:color w:val="444444"/>
          <w:sz w:val="44"/>
          <w:szCs w:val="44"/>
        </w:rPr>
        <w:t>重大行政执法决定法制审核制度</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第一条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为保护公民、法人和其他组织的合法权益，严格规范公正文明执法，加强对重大行政执法行为的监督，根据《中华人民共和国行政处罚法》《中华人民共和国行政许可法》《中华人民共和国行政强制法》等法律、法规、规章规定，结合交通运输行政执法工作实际，制定本制度。</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第二条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重大行政执法决定应当进行法制审核，未经审核或者审核未通过的，执法主体不得</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重大行政执法决定。</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其他行政执法决定，执法主体认为需要进行法制审核的，依照本制度执行。</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第三条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本制度所称重大行政执法决定法制审核，是指行政执法主体在</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重大行政执法决定之前，由该执法主体负责法制工作的部门（以下简称：法制机构）对其合法性、合理性进行审核的活动。</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重大行政执法决定法制审核主体为各执法主体的法制机构。</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第四条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按照依法有序、科学规范、便捷高效、</w:t>
      </w:r>
      <w:proofErr w:type="gramStart"/>
      <w:r w:rsidRPr="00BE556B">
        <w:rPr>
          <w:rFonts w:ascii="仿宋" w:eastAsia="仿宋" w:hAnsi="仿宋"/>
          <w:color w:val="444444"/>
          <w:sz w:val="32"/>
          <w:szCs w:val="32"/>
        </w:rPr>
        <w:t>办审分离</w:t>
      </w:r>
      <w:proofErr w:type="gramEnd"/>
      <w:r w:rsidRPr="00BE556B">
        <w:rPr>
          <w:rFonts w:ascii="仿宋" w:eastAsia="仿宋" w:hAnsi="仿宋"/>
          <w:color w:val="444444"/>
          <w:sz w:val="32"/>
          <w:szCs w:val="32"/>
        </w:rPr>
        <w:t>的原则，做到重大行政执法决定事实清楚、证据确凿充分、定性准确、依据正确、裁量适当、程序合法、法律文书制作规范、法律用语使用准确等。</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lastRenderedPageBreak/>
        <w:t>第五条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执法主体在行政许可、行政处罚、行政强制、行政征收征用等行政执法行为中实行重大行政执法决定法制审核制度。</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具有下列情形之一的，应当在</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决定前进行法制审核：</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（一）涉及重大公共利益、可能造成重大社会影响或引发社会风险的;</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（二）直接关系行政相对人或第三人重大权益的；</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（三）经过听证程序</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行政执法决定的;</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（四）案件情况疑难复杂，涉及多个法律关系的;</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（五）其他法律、法规、规章规定应当进行法制审核的。</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第六条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执法主体应当为法制机构配备政治素质高、业务能力强、具有法律专业背景的法制审核人员，鼓励具有国家统一法律职业资格的人员充实到法制审核工作岗位。</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第七条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执法主体在调查终结后，提请本单位</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行政执法决定前，对符合重大行政执法决定条件的案件应当送</w:t>
      </w:r>
      <w:proofErr w:type="gramStart"/>
      <w:r w:rsidRPr="00BE556B">
        <w:rPr>
          <w:rFonts w:ascii="仿宋" w:eastAsia="仿宋" w:hAnsi="仿宋"/>
          <w:color w:val="444444"/>
          <w:sz w:val="32"/>
          <w:szCs w:val="32"/>
        </w:rPr>
        <w:t>本执法</w:t>
      </w:r>
      <w:proofErr w:type="gramEnd"/>
      <w:r w:rsidRPr="00BE556B">
        <w:rPr>
          <w:rFonts w:ascii="仿宋" w:eastAsia="仿宋" w:hAnsi="仿宋"/>
          <w:color w:val="444444"/>
          <w:sz w:val="32"/>
          <w:szCs w:val="32"/>
        </w:rPr>
        <w:t>主体的法制机构进行审核，送审时应提交以下材料：</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（一）拟作出重大行政执法决定的情况说明。载明案件基本事实、适用法律、法规、规章和执行裁量权基准情况、执法人员资格情况；</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（二）拟作出重大行政执法决定书文本；</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（三）经过听证程序的，应当提交听证笔录；</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lastRenderedPageBreak/>
        <w:t>（四）经过抽样、检疫、检测或检验的，应当提供相应报告；</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（五）经过评估、鉴定或者专家评审的，应当提交评估、鉴定报告或者评审意见；</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（六）其他有关材料。</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第八条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法制机构对报送的案件材料以书面审核为主；材料不齐全的，可以要求及时补充，补充材料时间不计入审核时间，必要时，可以调阅审核执法决定的相关材料，相关单位和个人应当予以协助配合。</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第九条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法制机构对拟作出的重大行政执法决定从以下几个方面进行审核：</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（一）主体是否合法，行政执法人员是否具备执法资格；</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（二）程序是否合法；</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（三）主要事实是否清楚，证据是否确凿、充分；</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（四）适用法律、法规、规章是否准确，裁量基准运用是否适当；</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（五）执法是否有超越执法机关法定权限或滥用职权的情形;</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（六）行政执法文书的制作是否规范、齐备；</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（七）违法行为是否涉嫌犯罪、需要移送司法机关。</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lastRenderedPageBreak/>
        <w:t>第十条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法制机构应当在收到重大行政执法决定送审材料（需补充材料的，从材料全部补充完毕）起7个工作日内完成审核；案件复杂的，经负责人批准可以延长3个工作日。</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重大行政执法决定法制审核应当在法律、法规、规章规定</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执法决定的期限内完成。</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第十一条</w:t>
      </w:r>
      <w:r w:rsidRPr="00BE556B">
        <w:rPr>
          <w:rStyle w:val="a4"/>
          <w:rFonts w:ascii="PingFangSC-Regular" w:eastAsia="仿宋" w:hAnsi="PingFangSC-Regular"/>
          <w:color w:val="444444"/>
          <w:sz w:val="32"/>
          <w:szCs w:val="32"/>
        </w:rPr>
        <w:t> </w:t>
      </w:r>
      <w:r w:rsidRPr="00BE556B">
        <w:rPr>
          <w:rFonts w:ascii="仿宋" w:eastAsia="仿宋" w:hAnsi="仿宋"/>
          <w:color w:val="444444"/>
          <w:sz w:val="32"/>
          <w:szCs w:val="32"/>
        </w:rPr>
        <w:t>法制机构对拟作出的重大行政执法决定，根据以下情况，提出相应的书面意见或建议：</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（一）案件事实清楚、证据确凿、适用依据正确，程序合法、执行裁量权基准适当，法律文书制作规范的，提出同意的审核意见；</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（二）对超越本单位法定权限，或者存在滥用职权的，提出不同意的审核意见；</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（三）对事实不清、证据不足的，提出重新调查或者补充调查的审核意见；</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（四）对定性不准、适用依据错误，或者不符合裁量基准规定的，提出修正的审核意见；</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（五）对违反法定程序的，提出纠正的审核意见；</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（六）超出本单位管辖范围或涉嫌犯罪的，提出移送意见。</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法制机构应当制作《重大行政执法决定法制审核意见书》一式两份，一份留存归档，一份连同案卷材料回复执法主体。</w:t>
      </w:r>
      <w:r w:rsidRPr="00BE556B">
        <w:rPr>
          <w:rFonts w:ascii="仿宋" w:eastAsia="仿宋" w:hAnsi="仿宋"/>
          <w:color w:val="444444"/>
          <w:sz w:val="32"/>
          <w:szCs w:val="32"/>
        </w:rPr>
        <w:lastRenderedPageBreak/>
        <w:t>执法主体应将《重大行政执法决定法制审核意见书》存入执法案卷。</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第十二条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执法主体应当对法制机构审核意见</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相应的办理：</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（一）执法主体对法制机构审核意见和建议应研究采纳，法制审核未通过的，不得</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决定；</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（二）行政执法机关对法制机构审核意见有异议的，应当按照有关工作程序，报请有关负责人决定或集体讨论决定。</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第十三条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执法主体主要负责人是本机关重大行政执法决定法制审核制度的第一责任人，对本机关</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的行政执法决定负责；法制审核人员与审核有直接利害关系的，应当回避。</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行政执法承办机构对送审材料的真实性、完整性、准确性，以及执法的事实、证据、法律适用、程序的合法性负责。</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法制机构对重大执法决定法制审核意见负责。</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第十四条</w:t>
      </w:r>
      <w:r w:rsidRPr="00BE556B">
        <w:rPr>
          <w:rStyle w:val="apple-converted-space"/>
          <w:rFonts w:ascii="PingFangSC-Regular" w:eastAsia="仿宋" w:hAnsi="PingFangSC-Regular"/>
          <w:b/>
          <w:bCs/>
          <w:color w:val="444444"/>
          <w:sz w:val="32"/>
          <w:szCs w:val="32"/>
        </w:rPr>
        <w:t> </w:t>
      </w:r>
      <w:r w:rsidRPr="00BE556B">
        <w:rPr>
          <w:rFonts w:ascii="仿宋" w:eastAsia="仿宋" w:hAnsi="仿宋"/>
          <w:color w:val="444444"/>
          <w:sz w:val="32"/>
          <w:szCs w:val="32"/>
        </w:rPr>
        <w:t>执法主体、法制机构违反本办法，有下列情形之一的，按照《辽宁省行政执法过错责任追究办法》等有关规定，追究其责任：</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（一）执法主体负责人改变或者不采纳法制机构审核意见造成行政执法过错的；</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（二）执法主体未经法制审核</w:t>
      </w:r>
      <w:proofErr w:type="gramStart"/>
      <w:r w:rsidRPr="00BE556B">
        <w:rPr>
          <w:rFonts w:ascii="仿宋" w:eastAsia="仿宋" w:hAnsi="仿宋"/>
          <w:color w:val="444444"/>
          <w:sz w:val="32"/>
          <w:szCs w:val="32"/>
        </w:rPr>
        <w:t>作出</w:t>
      </w:r>
      <w:proofErr w:type="gramEnd"/>
      <w:r w:rsidRPr="00BE556B">
        <w:rPr>
          <w:rFonts w:ascii="仿宋" w:eastAsia="仿宋" w:hAnsi="仿宋"/>
          <w:color w:val="444444"/>
          <w:sz w:val="32"/>
          <w:szCs w:val="32"/>
        </w:rPr>
        <w:t>重大行政执法决定，造成行政执法过错的；</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lastRenderedPageBreak/>
        <w:t>（三）执法主体、承办机构报送重大执法决定时，故意弄虚作假、漏报、瞒报材料，造成行政执法过错的；</w:t>
      </w:r>
    </w:p>
    <w:p w:rsidR="0088199A" w:rsidRPr="00BE556B" w:rsidRDefault="0088199A" w:rsidP="0088199A">
      <w:pPr>
        <w:pStyle w:val="a3"/>
        <w:shd w:val="clear" w:color="auto" w:fill="FFFFFF"/>
        <w:spacing w:before="0" w:beforeAutospacing="0" w:after="0" w:afterAutospacing="0"/>
        <w:ind w:firstLine="640"/>
        <w:rPr>
          <w:rFonts w:ascii="仿宋" w:eastAsia="仿宋" w:hAnsi="仿宋"/>
          <w:color w:val="444444"/>
          <w:sz w:val="32"/>
          <w:szCs w:val="32"/>
        </w:rPr>
      </w:pPr>
      <w:r w:rsidRPr="00BE556B">
        <w:rPr>
          <w:rFonts w:ascii="仿宋" w:eastAsia="仿宋" w:hAnsi="仿宋"/>
          <w:color w:val="444444"/>
          <w:sz w:val="32"/>
          <w:szCs w:val="32"/>
        </w:rPr>
        <w:t>（四）法制机构在进行法制审核时玩忽职守、弄虚作假、隐瞒事实造成行政执法过错的。</w:t>
      </w:r>
    </w:p>
    <w:p w:rsidR="0088199A" w:rsidRPr="00BE556B" w:rsidRDefault="0088199A" w:rsidP="0088199A">
      <w:pPr>
        <w:pStyle w:val="a3"/>
        <w:shd w:val="clear" w:color="auto" w:fill="FFFFFF"/>
        <w:spacing w:before="0" w:beforeAutospacing="0" w:after="0" w:afterAutospacing="0"/>
        <w:ind w:firstLine="643"/>
        <w:rPr>
          <w:rFonts w:ascii="仿宋" w:eastAsia="仿宋" w:hAnsi="仿宋"/>
          <w:color w:val="444444"/>
          <w:sz w:val="32"/>
          <w:szCs w:val="32"/>
        </w:rPr>
      </w:pPr>
      <w:r w:rsidRPr="00BE556B">
        <w:rPr>
          <w:rStyle w:val="a4"/>
          <w:rFonts w:ascii="仿宋" w:eastAsia="仿宋" w:hAnsi="仿宋"/>
          <w:color w:val="444444"/>
          <w:sz w:val="32"/>
          <w:szCs w:val="32"/>
        </w:rPr>
        <w:t>第十五条</w:t>
      </w:r>
      <w:r w:rsidRPr="00BE556B">
        <w:rPr>
          <w:rStyle w:val="apple-converted-space"/>
          <w:rFonts w:ascii="PingFangSC-Regular" w:eastAsia="仿宋" w:hAnsi="PingFangSC-Regular"/>
          <w:color w:val="444444"/>
          <w:sz w:val="32"/>
          <w:szCs w:val="32"/>
        </w:rPr>
        <w:t> </w:t>
      </w:r>
      <w:r>
        <w:rPr>
          <w:rStyle w:val="apple-converted-space"/>
          <w:rFonts w:ascii="PingFangSC-Regular" w:eastAsia="仿宋" w:hAnsi="PingFangSC-Regular" w:hint="eastAsia"/>
          <w:color w:val="444444"/>
          <w:sz w:val="32"/>
          <w:szCs w:val="32"/>
        </w:rPr>
        <w:t>本制度</w:t>
      </w:r>
      <w:r w:rsidRPr="00BE556B">
        <w:rPr>
          <w:rFonts w:ascii="仿宋" w:eastAsia="仿宋" w:hAnsi="仿宋"/>
          <w:color w:val="444444"/>
          <w:sz w:val="32"/>
          <w:szCs w:val="32"/>
        </w:rPr>
        <w:t>自</w:t>
      </w:r>
      <w:r>
        <w:rPr>
          <w:rFonts w:ascii="仿宋" w:eastAsia="仿宋" w:hAnsi="仿宋" w:hint="eastAsia"/>
          <w:color w:val="444444"/>
          <w:sz w:val="32"/>
          <w:szCs w:val="32"/>
        </w:rPr>
        <w:t>2019</w:t>
      </w:r>
      <w:r w:rsidRPr="00BE556B">
        <w:rPr>
          <w:rFonts w:ascii="仿宋" w:eastAsia="仿宋" w:hAnsi="仿宋"/>
          <w:color w:val="444444"/>
          <w:sz w:val="32"/>
          <w:szCs w:val="32"/>
        </w:rPr>
        <w:t xml:space="preserve">年 </w:t>
      </w:r>
      <w:r>
        <w:rPr>
          <w:rFonts w:ascii="仿宋" w:eastAsia="仿宋" w:hAnsi="仿宋" w:hint="eastAsia"/>
          <w:color w:val="444444"/>
          <w:sz w:val="32"/>
          <w:szCs w:val="32"/>
        </w:rPr>
        <w:t>3</w:t>
      </w:r>
      <w:r w:rsidRPr="00BE556B">
        <w:rPr>
          <w:rFonts w:ascii="仿宋" w:eastAsia="仿宋" w:hAnsi="仿宋"/>
          <w:color w:val="444444"/>
          <w:sz w:val="32"/>
          <w:szCs w:val="32"/>
        </w:rPr>
        <w:t>月</w:t>
      </w:r>
      <w:r>
        <w:rPr>
          <w:rFonts w:ascii="仿宋" w:eastAsia="仿宋" w:hAnsi="仿宋" w:hint="eastAsia"/>
          <w:color w:val="444444"/>
          <w:sz w:val="32"/>
          <w:szCs w:val="32"/>
        </w:rPr>
        <w:t>5</w:t>
      </w:r>
      <w:r w:rsidRPr="00BE556B">
        <w:rPr>
          <w:rFonts w:ascii="仿宋" w:eastAsia="仿宋" w:hAnsi="仿宋"/>
          <w:color w:val="444444"/>
          <w:sz w:val="32"/>
          <w:szCs w:val="32"/>
        </w:rPr>
        <w:t>日起施行。</w:t>
      </w:r>
    </w:p>
    <w:p w:rsidR="00543808" w:rsidRPr="0088199A" w:rsidRDefault="00543808"/>
    <w:sectPr w:rsidR="00543808" w:rsidRPr="0088199A" w:rsidSect="005438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PingFangSC-Regular">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8199A"/>
    <w:rsid w:val="00543808"/>
    <w:rsid w:val="008819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80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88199A"/>
  </w:style>
  <w:style w:type="paragraph" w:styleId="a3">
    <w:name w:val="Normal (Web)"/>
    <w:basedOn w:val="a"/>
    <w:uiPriority w:val="99"/>
    <w:semiHidden/>
    <w:unhideWhenUsed/>
    <w:rsid w:val="0088199A"/>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8199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335</Words>
  <Characters>1910</Characters>
  <Application>Microsoft Office Word</Application>
  <DocSecurity>0</DocSecurity>
  <Lines>15</Lines>
  <Paragraphs>4</Paragraphs>
  <ScaleCrop>false</ScaleCrop>
  <Company/>
  <LinksUpToDate>false</LinksUpToDate>
  <CharactersWithSpaces>2241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2019-10-25T02:23:00Z</dcterms:created>
  <dcterms:modified xsi:type="dcterms:W3CDTF">2019-10-25T02:24:00Z</dcterms:modified>
</cp:coreProperties>
</file>