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86B" w:rsidRPr="00B3186B" w:rsidRDefault="00B3186B" w:rsidP="00B3186B">
      <w:pPr>
        <w:widowControl/>
        <w:shd w:val="clear" w:color="auto" w:fill="FFFFFF"/>
        <w:spacing w:line="560" w:lineRule="atLeast"/>
        <w:jc w:val="center"/>
        <w:rPr>
          <w:rFonts w:asciiTheme="minorEastAsia" w:hAnsiTheme="minorEastAsia" w:cs="仿宋_GB2312"/>
          <w:kern w:val="0"/>
          <w:sz w:val="44"/>
          <w:szCs w:val="44"/>
          <w:shd w:val="clear" w:color="auto" w:fill="FFFFFF"/>
        </w:rPr>
      </w:pPr>
      <w:r w:rsidRPr="00B3186B">
        <w:rPr>
          <w:rFonts w:asciiTheme="minorEastAsia" w:hAnsiTheme="minorEastAsia" w:cs="仿宋_GB2312" w:hint="eastAsia"/>
          <w:kern w:val="0"/>
          <w:sz w:val="44"/>
          <w:szCs w:val="44"/>
          <w:shd w:val="clear" w:color="auto" w:fill="FFFFFF"/>
        </w:rPr>
        <w:t>大连市</w:t>
      </w:r>
      <w:r w:rsidR="00315848">
        <w:rPr>
          <w:rFonts w:asciiTheme="minorEastAsia" w:hAnsiTheme="minorEastAsia" w:cs="仿宋_GB2312" w:hint="eastAsia"/>
          <w:kern w:val="0"/>
          <w:sz w:val="44"/>
          <w:szCs w:val="44"/>
          <w:shd w:val="clear" w:color="auto" w:fill="FFFFFF"/>
        </w:rPr>
        <w:t>高新区</w:t>
      </w:r>
      <w:r w:rsidRPr="00B3186B">
        <w:rPr>
          <w:rFonts w:asciiTheme="minorEastAsia" w:hAnsiTheme="minorEastAsia" w:cs="仿宋_GB2312" w:hint="eastAsia"/>
          <w:kern w:val="0"/>
          <w:sz w:val="44"/>
          <w:szCs w:val="44"/>
          <w:shd w:val="clear" w:color="auto" w:fill="FFFFFF"/>
        </w:rPr>
        <w:t>城市管理局征收类服务指南</w:t>
      </w:r>
    </w:p>
    <w:p w:rsidR="00B3186B" w:rsidRDefault="00B3186B" w:rsidP="00B3186B">
      <w:pPr>
        <w:widowControl/>
        <w:shd w:val="clear" w:color="auto" w:fill="FFFFFF"/>
        <w:spacing w:line="560" w:lineRule="atLeast"/>
        <w:jc w:val="center"/>
        <w:rPr>
          <w:rFonts w:ascii="黑体" w:eastAsia="黑体" w:hAnsi="黑体" w:cs="仿宋_GB2312"/>
          <w:kern w:val="0"/>
          <w:sz w:val="32"/>
          <w:szCs w:val="32"/>
          <w:shd w:val="clear" w:color="auto" w:fill="FFFFFF"/>
        </w:rPr>
      </w:pPr>
    </w:p>
    <w:p w:rsidR="00B3186B" w:rsidRPr="00902D8A" w:rsidRDefault="00B3186B" w:rsidP="00B3186B">
      <w:pPr>
        <w:widowControl/>
        <w:shd w:val="clear" w:color="auto" w:fill="FFFFFF"/>
        <w:spacing w:line="560" w:lineRule="atLeast"/>
        <w:jc w:val="center"/>
        <w:rPr>
          <w:rFonts w:ascii="黑体" w:eastAsia="黑体" w:hAnsi="黑体" w:cs="方正小标宋简体"/>
          <w:sz w:val="32"/>
          <w:szCs w:val="32"/>
        </w:rPr>
      </w:pPr>
      <w:r>
        <w:rPr>
          <w:rFonts w:ascii="黑体" w:eastAsia="黑体" w:hAnsi="黑体" w:cs="仿宋_GB2312" w:hint="eastAsia"/>
          <w:kern w:val="0"/>
          <w:sz w:val="32"/>
          <w:szCs w:val="32"/>
          <w:shd w:val="clear" w:color="auto" w:fill="FFFFFF"/>
        </w:rPr>
        <w:t>一、</w:t>
      </w:r>
      <w:r w:rsidRPr="00902D8A">
        <w:rPr>
          <w:rFonts w:ascii="黑体" w:eastAsia="黑体" w:hAnsi="黑体" w:cs="仿宋_GB2312" w:hint="eastAsia"/>
          <w:kern w:val="0"/>
          <w:sz w:val="32"/>
          <w:szCs w:val="32"/>
          <w:shd w:val="clear" w:color="auto" w:fill="FFFFFF"/>
        </w:rPr>
        <w:t>城市道路挖掘修复费的征收</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指南适用于城市道路挖掘修复费的征收的咨询、申请、受理、书面审查、实地核查、决定、送达和审批程序。</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城市道路挖掘修复费的征收（代码：</w:t>
      </w:r>
      <w:r w:rsidRPr="00902D8A">
        <w:rPr>
          <w:rFonts w:ascii="仿宋" w:eastAsia="仿宋" w:hAnsi="仿宋" w:cs="仿宋_GB2312"/>
          <w:kern w:val="0"/>
          <w:sz w:val="32"/>
          <w:szCs w:val="32"/>
          <w:shd w:val="clear" w:color="auto" w:fill="FFFFFF"/>
        </w:rPr>
        <w:t>ZSCG00020000</w:t>
      </w:r>
      <w:r w:rsidRPr="00902D8A">
        <w:rPr>
          <w:rFonts w:ascii="仿宋" w:eastAsia="仿宋" w:hAnsi="仿宋" w:cs="仿宋_GB2312" w:hint="eastAsia"/>
          <w:kern w:val="0"/>
          <w:sz w:val="32"/>
          <w:szCs w:val="32"/>
          <w:shd w:val="clear" w:color="auto" w:fill="FFFFFF"/>
        </w:rPr>
        <w:t>）。</w:t>
      </w:r>
    </w:p>
    <w:p w:rsidR="00B3186B" w:rsidRPr="00902D8A" w:rsidRDefault="00B3186B" w:rsidP="00B3186B">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《城市道路管理条例》（1996年6月4日国务院令第198号，2011年1月8日、2017年3月1日予以修订）</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第三十七条 占用或者挖掘由市政工程行政主管部门管理的城市道路的,应当向市政工程行政主管部门交纳城市道路占用费或者城市道路挖掘修复费。</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《全省及省本级部门和单位涉企行政事业性收费目录清单》</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七 住房城乡建设15.城市道路占用、挖掘修复费</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《全省及省本级部门和单位行政事业性收费目录清单》</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十三 住房城乡建设：38.城市道路占用、挖掘修复费</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CF7AA9">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城市管理局(城市道路挖掘修复费的征收)。</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（二）审批内容。城市道路挖掘修复费的征收。</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（三）法律效力。申请人取得许可后，进行城市道路挖掘修复费的征收。</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符合城市道路挖掘修复费的征收条件的公民、企业、机关、事业单位及其他组织。</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无</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sz w:val="32"/>
          <w:szCs w:val="32"/>
        </w:rPr>
        <w:t>辽住建</w:t>
      </w:r>
      <w:proofErr w:type="gramEnd"/>
      <w:r w:rsidRPr="00902D8A">
        <w:rPr>
          <w:rFonts w:ascii="仿宋" w:eastAsia="仿宋" w:hAnsi="仿宋" w:cs="仿宋_GB2312" w:hint="eastAsia"/>
          <w:sz w:val="32"/>
          <w:szCs w:val="32"/>
        </w:rPr>
        <w:t>【2011】240号沥青路面 520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条（料）石路面 500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水泥</w:t>
      </w:r>
      <w:proofErr w:type="gramStart"/>
      <w:r w:rsidRPr="00902D8A">
        <w:rPr>
          <w:rFonts w:ascii="仿宋" w:eastAsia="仿宋" w:hAnsi="仿宋" w:cs="仿宋_GB2312" w:hint="eastAsia"/>
          <w:sz w:val="32"/>
          <w:szCs w:val="32"/>
        </w:rPr>
        <w:t>砼</w:t>
      </w:r>
      <w:proofErr w:type="gramEnd"/>
      <w:r w:rsidRPr="00902D8A">
        <w:rPr>
          <w:rFonts w:ascii="仿宋" w:eastAsia="仿宋" w:hAnsi="仿宋" w:cs="仿宋_GB2312" w:hint="eastAsia"/>
          <w:sz w:val="32"/>
          <w:szCs w:val="32"/>
        </w:rPr>
        <w:t>路面 300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彩色方砖 230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人行步道方砖 215</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边石、卧石 158</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砂石路面 87</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土路 30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lastRenderedPageBreak/>
        <w:t>规划路 30</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1.申请人有权要求公示行政许可事项、审批依据、审批条件、审批程序、法定期限以及需要提交的全部申请材料目录。对符合法定条件的行政许可申请，有依法取得行政许可的权利。</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t>3</w:t>
      </w:r>
      <w:r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.申请人认为实施行政许可侵犯了其合法权益的，有向本局提出申诉或者举报的权利；有向市人民政府或者大连市城市管理局申请行政复议的权利。</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B3186B" w:rsidRPr="00902D8A" w:rsidRDefault="00B3186B" w:rsidP="00B318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CF7AA9" w:rsidRDefault="00B3186B" w:rsidP="00CF7AA9">
      <w:pPr>
        <w:widowControl/>
        <w:shd w:val="clear" w:color="auto" w:fill="FFFFFF"/>
        <w:spacing w:line="560" w:lineRule="atLeast"/>
        <w:ind w:firstLine="640"/>
        <w:jc w:val="left"/>
        <w:rPr>
          <w:rFonts w:ascii="仿宋" w:eastAsia="仿宋" w:hAnsi="仿宋" w:cs="仿宋_GB2312" w:hint="eastAsia"/>
          <w:sz w:val="32"/>
          <w:szCs w:val="32"/>
        </w:rPr>
      </w:pPr>
      <w:r w:rsidRPr="00902D8A">
        <w:rPr>
          <w:rFonts w:ascii="仿宋" w:eastAsia="仿宋" w:hAnsi="仿宋" w:cs="仿宋_GB2312" w:hint="eastAsia"/>
          <w:kern w:val="0"/>
          <w:sz w:val="32"/>
          <w:szCs w:val="32"/>
          <w:shd w:val="clear" w:color="auto" w:fill="FFFFFF"/>
        </w:rPr>
        <w:t>十、接收、咨询和监督</w:t>
      </w:r>
    </w:p>
    <w:p w:rsidR="00CF7AA9" w:rsidRDefault="00CF7AA9" w:rsidP="00CF7AA9">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lastRenderedPageBreak/>
        <w:t>（一）接收和咨询。大连市高新区行政服务中心城管（交通）局</w:t>
      </w:r>
      <w:r>
        <w:rPr>
          <w:rFonts w:ascii="仿宋" w:eastAsia="仿宋" w:hAnsi="仿宋" w:cs="Tahoma" w:hint="eastAsia"/>
          <w:kern w:val="0"/>
          <w:sz w:val="32"/>
          <w:szCs w:val="32"/>
        </w:rPr>
        <w:t>窗口</w:t>
      </w:r>
      <w:r>
        <w:rPr>
          <w:rFonts w:ascii="仿宋" w:eastAsia="仿宋" w:hAnsi="仿宋" w:cs="仿宋_GB2312" w:hint="eastAsia"/>
          <w:kern w:val="0"/>
          <w:sz w:val="32"/>
          <w:szCs w:val="32"/>
          <w:shd w:val="clear" w:color="auto" w:fill="FFFFFF"/>
        </w:rPr>
        <w:t>。</w:t>
      </w:r>
    </w:p>
    <w:p w:rsidR="00CF7AA9" w:rsidRDefault="00CF7AA9" w:rsidP="00CF7AA9">
      <w:pPr>
        <w:rPr>
          <w:rFonts w:ascii="仿宋" w:eastAsia="仿宋" w:hAnsi="仿宋" w:cs="Tahoma" w:hint="eastAsia"/>
          <w:kern w:val="0"/>
          <w:sz w:val="32"/>
          <w:szCs w:val="32"/>
        </w:rPr>
      </w:pPr>
      <w:r>
        <w:rPr>
          <w:rFonts w:ascii="仿宋" w:eastAsia="仿宋" w:hAnsi="仿宋" w:cs="仿宋_GB2312" w:hint="eastAsia"/>
          <w:kern w:val="0"/>
          <w:sz w:val="32"/>
          <w:szCs w:val="32"/>
          <w:shd w:val="clear" w:color="auto" w:fill="FFFFFF"/>
        </w:rPr>
        <w:t>地址：</w:t>
      </w:r>
      <w:r>
        <w:rPr>
          <w:rFonts w:ascii="仿宋" w:eastAsia="仿宋" w:hAnsi="仿宋" w:cs="Tahoma" w:hint="eastAsia"/>
          <w:kern w:val="0"/>
          <w:sz w:val="32"/>
          <w:szCs w:val="32"/>
        </w:rPr>
        <w:t>大连市高新街1号。</w:t>
      </w:r>
    </w:p>
    <w:p w:rsidR="00CF7AA9" w:rsidRDefault="00CF7AA9" w:rsidP="00CF7AA9">
      <w:pPr>
        <w:widowControl/>
        <w:shd w:val="clear" w:color="auto" w:fill="FFFFFF"/>
        <w:spacing w:line="560" w:lineRule="atLeast"/>
        <w:ind w:firstLineChars="200" w:firstLine="640"/>
        <w:jc w:val="left"/>
        <w:rPr>
          <w:rFonts w:ascii="仿宋" w:eastAsia="仿宋" w:hAnsi="仿宋" w:cs="仿宋_GB2312" w:hint="eastAsia"/>
          <w:sz w:val="32"/>
          <w:szCs w:val="32"/>
        </w:rPr>
      </w:pPr>
      <w:r>
        <w:rPr>
          <w:rFonts w:ascii="仿宋" w:eastAsia="仿宋" w:hAnsi="仿宋" w:cs="仿宋_GB2312" w:hint="eastAsia"/>
          <w:kern w:val="0"/>
          <w:sz w:val="32"/>
          <w:szCs w:val="32"/>
          <w:shd w:val="clear" w:color="auto" w:fill="FFFFFF"/>
        </w:rPr>
        <w:t>（二）接收时间。</w:t>
      </w:r>
      <w:r>
        <w:rPr>
          <w:rFonts w:ascii="仿宋" w:eastAsia="仿宋" w:hAnsi="仿宋" w:cs="Tahoma" w:hint="eastAsia"/>
          <w:kern w:val="0"/>
          <w:sz w:val="32"/>
          <w:szCs w:val="32"/>
        </w:rPr>
        <w:t>周一至周五8:30—11:30，13:00—17:00；周六周日9:00—11:30，13:00—15:00。（节假日除外）</w:t>
      </w:r>
      <w:r>
        <w:rPr>
          <w:rFonts w:ascii="仿宋" w:eastAsia="仿宋" w:hAnsi="仿宋" w:cs="仿宋_GB2312" w:hint="eastAsia"/>
          <w:kern w:val="0"/>
          <w:sz w:val="32"/>
          <w:szCs w:val="32"/>
          <w:shd w:val="clear" w:color="auto" w:fill="FFFFFF"/>
        </w:rPr>
        <w:t>。</w:t>
      </w:r>
    </w:p>
    <w:p w:rsidR="00CF7AA9" w:rsidRDefault="00CF7AA9" w:rsidP="00CF7AA9">
      <w:pPr>
        <w:widowControl/>
        <w:shd w:val="clear" w:color="auto" w:fill="FFFFFF"/>
        <w:spacing w:line="560" w:lineRule="atLeast"/>
        <w:ind w:firstLine="640"/>
        <w:jc w:val="left"/>
        <w:rPr>
          <w:rFonts w:ascii="仿宋" w:eastAsia="仿宋" w:hAnsi="仿宋" w:cs="仿宋_GB2312" w:hint="eastAsia"/>
          <w:kern w:val="0"/>
          <w:sz w:val="32"/>
          <w:szCs w:val="32"/>
        </w:rPr>
      </w:pPr>
      <w:r>
        <w:rPr>
          <w:rFonts w:ascii="仿宋" w:eastAsia="仿宋" w:hAnsi="仿宋" w:cs="仿宋_GB2312" w:hint="eastAsia"/>
          <w:kern w:val="0"/>
          <w:sz w:val="32"/>
          <w:szCs w:val="32"/>
          <w:shd w:val="clear" w:color="auto" w:fill="FFFFFF"/>
        </w:rPr>
        <w:t>（三）监督电话。</w:t>
      </w:r>
      <w:r>
        <w:rPr>
          <w:rFonts w:ascii="仿宋" w:eastAsia="仿宋" w:hAnsi="仿宋" w:cs="Tahoma" w:hint="eastAsia"/>
          <w:sz w:val="32"/>
          <w:szCs w:val="32"/>
        </w:rPr>
        <w:t>0411-84820929、 0411-88900000（12345）</w:t>
      </w:r>
      <w:r>
        <w:rPr>
          <w:rFonts w:ascii="仿宋" w:eastAsia="仿宋" w:hAnsi="仿宋" w:cs="仿宋_GB2312" w:hint="eastAsia"/>
          <w:kern w:val="0"/>
          <w:sz w:val="32"/>
          <w:szCs w:val="32"/>
        </w:rPr>
        <w:t>。</w:t>
      </w:r>
    </w:p>
    <w:p w:rsidR="00B3186B" w:rsidRDefault="00B3186B">
      <w:pPr>
        <w:widowControl/>
        <w:shd w:val="clear" w:color="auto" w:fill="FFFFFF"/>
        <w:spacing w:line="560" w:lineRule="atLeast"/>
        <w:jc w:val="center"/>
        <w:rPr>
          <w:rFonts w:ascii="方正小标宋简体" w:eastAsia="方正小标宋简体" w:hAnsi="方正小标宋简体" w:cs="方正小标宋简体"/>
          <w:color w:val="3D4B64"/>
          <w:sz w:val="44"/>
          <w:szCs w:val="44"/>
          <w:shd w:val="clear" w:color="auto" w:fill="F7F7F7"/>
        </w:rPr>
      </w:pPr>
    </w:p>
    <w:p w:rsidR="00B3186B" w:rsidRDefault="00B3186B">
      <w:pPr>
        <w:widowControl/>
        <w:shd w:val="clear" w:color="auto" w:fill="FFFFFF"/>
        <w:spacing w:line="560" w:lineRule="atLeast"/>
        <w:jc w:val="center"/>
        <w:rPr>
          <w:rFonts w:ascii="方正小标宋简体" w:eastAsia="方正小标宋简体" w:hAnsi="方正小标宋简体" w:cs="方正小标宋简体"/>
          <w:color w:val="3D4B64"/>
          <w:sz w:val="44"/>
          <w:szCs w:val="44"/>
          <w:shd w:val="clear" w:color="auto" w:fill="F7F7F7"/>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spacing w:line="560" w:lineRule="atLeast"/>
        <w:ind w:firstLineChars="200" w:firstLine="640"/>
        <w:jc w:val="left"/>
        <w:rPr>
          <w:rFonts w:ascii="仿宋_GB2312" w:eastAsia="仿宋_GB2312" w:hAnsi="仿宋_GB2312" w:cs="仿宋_GB2312"/>
          <w:color w:val="000000"/>
          <w:kern w:val="0"/>
          <w:sz w:val="32"/>
          <w:szCs w:val="32"/>
          <w:shd w:val="clear" w:color="auto" w:fill="FFFFFF"/>
        </w:rPr>
      </w:pPr>
    </w:p>
    <w:p w:rsidR="009D58D5" w:rsidRDefault="009D58D5">
      <w:pPr>
        <w:widowControl/>
        <w:shd w:val="clear" w:color="auto" w:fill="FFFFFF"/>
        <w:jc w:val="left"/>
        <w:rPr>
          <w:rFonts w:ascii="宋体" w:eastAsia="宋体" w:hAnsi="宋体" w:cs="宋体"/>
          <w:color w:val="333333"/>
          <w:kern w:val="0"/>
          <w:sz w:val="24"/>
          <w:shd w:val="clear" w:color="auto" w:fill="FFFFFF"/>
        </w:rPr>
        <w:sectPr w:rsidR="009D58D5">
          <w:pgSz w:w="11906" w:h="16838"/>
          <w:pgMar w:top="1440" w:right="1800" w:bottom="1440" w:left="1800" w:header="851" w:footer="992" w:gutter="0"/>
          <w:cols w:space="425"/>
          <w:docGrid w:type="lines" w:linePitch="312"/>
        </w:sectPr>
      </w:pPr>
    </w:p>
    <w:p w:rsidR="009D58D5" w:rsidRDefault="00597943">
      <w:pPr>
        <w:widowControl/>
        <w:shd w:val="clear" w:color="auto" w:fill="FFFFFF"/>
        <w:spacing w:line="560" w:lineRule="atLeast"/>
        <w:ind w:firstLine="720"/>
        <w:jc w:val="left"/>
        <w:rPr>
          <w:rFonts w:ascii="仿宋_GB2312" w:eastAsia="仿宋_GB2312" w:hAnsi="仿宋_GB2312" w:cs="仿宋_GB2312"/>
          <w:color w:val="666666"/>
          <w:sz w:val="32"/>
          <w:szCs w:val="32"/>
        </w:rPr>
      </w:pPr>
      <w:bookmarkStart w:id="0" w:name="_GoBack"/>
      <w:bookmarkEnd w:id="0"/>
      <w:r>
        <w:rPr>
          <w:rFonts w:ascii="仿宋_GB2312" w:eastAsia="仿宋_GB2312" w:hAnsi="仿宋_GB2312" w:cs="仿宋_GB2312" w:hint="eastAsia"/>
          <w:color w:val="666666"/>
          <w:kern w:val="0"/>
          <w:sz w:val="32"/>
          <w:szCs w:val="32"/>
          <w:shd w:val="clear" w:color="auto" w:fill="FFFFFF"/>
        </w:rPr>
        <w:lastRenderedPageBreak/>
        <w:t> </w:t>
      </w:r>
    </w:p>
    <w:p w:rsidR="009D58D5" w:rsidRDefault="00597943">
      <w:pPr>
        <w:widowControl/>
        <w:shd w:val="clear" w:color="auto" w:fill="FFFFFF"/>
        <w:spacing w:line="560" w:lineRule="atLeast"/>
        <w:ind w:firstLine="720"/>
        <w:jc w:val="left"/>
        <w:rPr>
          <w:rFonts w:ascii="仿宋_GB2312" w:eastAsia="仿宋_GB2312" w:hAnsi="仿宋_GB2312" w:cs="仿宋_GB2312"/>
          <w:color w:val="666666"/>
          <w:kern w:val="0"/>
          <w:sz w:val="32"/>
          <w:szCs w:val="32"/>
          <w:shd w:val="clear" w:color="auto" w:fill="FFFFFF"/>
        </w:rPr>
      </w:pPr>
      <w:r>
        <w:rPr>
          <w:rFonts w:ascii="仿宋_GB2312" w:eastAsia="仿宋_GB2312" w:hAnsi="仿宋_GB2312" w:cs="仿宋_GB2312" w:hint="eastAsia"/>
          <w:color w:val="666666"/>
          <w:kern w:val="0"/>
          <w:sz w:val="32"/>
          <w:szCs w:val="32"/>
          <w:shd w:val="clear" w:color="auto" w:fill="FFFFFF"/>
        </w:rPr>
        <w:t> </w:t>
      </w:r>
    </w:p>
    <w:p w:rsidR="00B3186B" w:rsidRDefault="00B3186B">
      <w:pPr>
        <w:widowControl/>
        <w:shd w:val="clear" w:color="auto" w:fill="FFFFFF"/>
        <w:spacing w:line="560" w:lineRule="atLeast"/>
        <w:ind w:firstLine="720"/>
        <w:jc w:val="left"/>
        <w:rPr>
          <w:rFonts w:ascii="仿宋_GB2312" w:eastAsia="仿宋_GB2312" w:hAnsi="仿宋_GB2312" w:cs="仿宋_GB2312"/>
          <w:color w:val="666666"/>
          <w:kern w:val="0"/>
          <w:sz w:val="32"/>
          <w:szCs w:val="32"/>
          <w:shd w:val="clear" w:color="auto" w:fill="FFFFFF"/>
        </w:rPr>
      </w:pPr>
    </w:p>
    <w:sectPr w:rsidR="00B3186B" w:rsidSect="009D58D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F06" w:rsidRDefault="00CF0F06" w:rsidP="00B3186B">
      <w:r>
        <w:separator/>
      </w:r>
    </w:p>
  </w:endnote>
  <w:endnote w:type="continuationSeparator" w:id="0">
    <w:p w:rsidR="00CF0F06" w:rsidRDefault="00CF0F06" w:rsidP="00B3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F06" w:rsidRDefault="00CF0F06" w:rsidP="00B3186B">
      <w:r>
        <w:separator/>
      </w:r>
    </w:p>
  </w:footnote>
  <w:footnote w:type="continuationSeparator" w:id="0">
    <w:p w:rsidR="00CF0F06" w:rsidRDefault="00CF0F06" w:rsidP="00B318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8665B3"/>
    <w:multiLevelType w:val="singleLevel"/>
    <w:tmpl w:val="E38665B3"/>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D5"/>
    <w:rsid w:val="001259C2"/>
    <w:rsid w:val="001E30B0"/>
    <w:rsid w:val="00315848"/>
    <w:rsid w:val="003F433E"/>
    <w:rsid w:val="00597943"/>
    <w:rsid w:val="00844566"/>
    <w:rsid w:val="009D58D5"/>
    <w:rsid w:val="00B3186B"/>
    <w:rsid w:val="00BC3807"/>
    <w:rsid w:val="00C730B9"/>
    <w:rsid w:val="00CF0F06"/>
    <w:rsid w:val="00CF7AA9"/>
    <w:rsid w:val="00DA6CAD"/>
    <w:rsid w:val="00F20A40"/>
    <w:rsid w:val="02D23929"/>
    <w:rsid w:val="04221AF8"/>
    <w:rsid w:val="04722956"/>
    <w:rsid w:val="05FC6A18"/>
    <w:rsid w:val="084B65DE"/>
    <w:rsid w:val="08AD159A"/>
    <w:rsid w:val="08AD5021"/>
    <w:rsid w:val="0D220932"/>
    <w:rsid w:val="0DF96A46"/>
    <w:rsid w:val="120E3A01"/>
    <w:rsid w:val="1597720F"/>
    <w:rsid w:val="15EF47DC"/>
    <w:rsid w:val="16A70296"/>
    <w:rsid w:val="175E13B8"/>
    <w:rsid w:val="1D597F9A"/>
    <w:rsid w:val="1D8F01E8"/>
    <w:rsid w:val="216505DB"/>
    <w:rsid w:val="24373BF4"/>
    <w:rsid w:val="24E221F4"/>
    <w:rsid w:val="26E07B4F"/>
    <w:rsid w:val="29F967EA"/>
    <w:rsid w:val="2BB964D1"/>
    <w:rsid w:val="2E3A6129"/>
    <w:rsid w:val="2E4F7D2C"/>
    <w:rsid w:val="336B2464"/>
    <w:rsid w:val="36F47A24"/>
    <w:rsid w:val="3755293C"/>
    <w:rsid w:val="37D94B4A"/>
    <w:rsid w:val="39764C95"/>
    <w:rsid w:val="43D3593B"/>
    <w:rsid w:val="46742F88"/>
    <w:rsid w:val="47ED38EB"/>
    <w:rsid w:val="48883F86"/>
    <w:rsid w:val="4EF62006"/>
    <w:rsid w:val="50745786"/>
    <w:rsid w:val="52C734CF"/>
    <w:rsid w:val="55E861F0"/>
    <w:rsid w:val="59901896"/>
    <w:rsid w:val="5A232B34"/>
    <w:rsid w:val="605166B6"/>
    <w:rsid w:val="63E92439"/>
    <w:rsid w:val="65667CAA"/>
    <w:rsid w:val="66CB7A5D"/>
    <w:rsid w:val="67BB3DA6"/>
    <w:rsid w:val="68896E28"/>
    <w:rsid w:val="6C070F90"/>
    <w:rsid w:val="6D903ECF"/>
    <w:rsid w:val="7172198A"/>
    <w:rsid w:val="743D5FDA"/>
    <w:rsid w:val="757F08F4"/>
    <w:rsid w:val="772E5BFE"/>
    <w:rsid w:val="774C70E7"/>
    <w:rsid w:val="79784D69"/>
    <w:rsid w:val="7AC12E08"/>
    <w:rsid w:val="7BF03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58D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D58D5"/>
    <w:rPr>
      <w:b/>
    </w:rPr>
  </w:style>
  <w:style w:type="character" w:styleId="a4">
    <w:name w:val="Hyperlink"/>
    <w:basedOn w:val="a0"/>
    <w:qFormat/>
    <w:rsid w:val="009D58D5"/>
    <w:rPr>
      <w:color w:val="0000FF"/>
      <w:u w:val="single"/>
    </w:rPr>
  </w:style>
  <w:style w:type="paragraph" w:styleId="a5">
    <w:name w:val="header"/>
    <w:basedOn w:val="a"/>
    <w:link w:val="Char"/>
    <w:rsid w:val="00B318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3186B"/>
    <w:rPr>
      <w:rFonts w:asciiTheme="minorHAnsi" w:eastAsiaTheme="minorEastAsia" w:hAnsiTheme="minorHAnsi" w:cstheme="minorBidi"/>
      <w:kern w:val="2"/>
      <w:sz w:val="18"/>
      <w:szCs w:val="18"/>
    </w:rPr>
  </w:style>
  <w:style w:type="paragraph" w:styleId="a6">
    <w:name w:val="footer"/>
    <w:basedOn w:val="a"/>
    <w:link w:val="Char0"/>
    <w:rsid w:val="00B3186B"/>
    <w:pPr>
      <w:tabs>
        <w:tab w:val="center" w:pos="4153"/>
        <w:tab w:val="right" w:pos="8306"/>
      </w:tabs>
      <w:snapToGrid w:val="0"/>
      <w:jc w:val="left"/>
    </w:pPr>
    <w:rPr>
      <w:sz w:val="18"/>
      <w:szCs w:val="18"/>
    </w:rPr>
  </w:style>
  <w:style w:type="character" w:customStyle="1" w:styleId="Char0">
    <w:name w:val="页脚 Char"/>
    <w:basedOn w:val="a0"/>
    <w:link w:val="a6"/>
    <w:rsid w:val="00B3186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58D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D58D5"/>
    <w:rPr>
      <w:b/>
    </w:rPr>
  </w:style>
  <w:style w:type="character" w:styleId="a4">
    <w:name w:val="Hyperlink"/>
    <w:basedOn w:val="a0"/>
    <w:qFormat/>
    <w:rsid w:val="009D58D5"/>
    <w:rPr>
      <w:color w:val="0000FF"/>
      <w:u w:val="single"/>
    </w:rPr>
  </w:style>
  <w:style w:type="paragraph" w:styleId="a5">
    <w:name w:val="header"/>
    <w:basedOn w:val="a"/>
    <w:link w:val="Char"/>
    <w:rsid w:val="00B318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3186B"/>
    <w:rPr>
      <w:rFonts w:asciiTheme="minorHAnsi" w:eastAsiaTheme="minorEastAsia" w:hAnsiTheme="minorHAnsi" w:cstheme="minorBidi"/>
      <w:kern w:val="2"/>
      <w:sz w:val="18"/>
      <w:szCs w:val="18"/>
    </w:rPr>
  </w:style>
  <w:style w:type="paragraph" w:styleId="a6">
    <w:name w:val="footer"/>
    <w:basedOn w:val="a"/>
    <w:link w:val="Char0"/>
    <w:rsid w:val="00B3186B"/>
    <w:pPr>
      <w:tabs>
        <w:tab w:val="center" w:pos="4153"/>
        <w:tab w:val="right" w:pos="8306"/>
      </w:tabs>
      <w:snapToGrid w:val="0"/>
      <w:jc w:val="left"/>
    </w:pPr>
    <w:rPr>
      <w:sz w:val="18"/>
      <w:szCs w:val="18"/>
    </w:rPr>
  </w:style>
  <w:style w:type="character" w:customStyle="1" w:styleId="Char0">
    <w:name w:val="页脚 Char"/>
    <w:basedOn w:val="a0"/>
    <w:link w:val="a6"/>
    <w:rsid w:val="00B3186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3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191</Words>
  <Characters>1091</Characters>
  <Application>Microsoft Office Word</Application>
  <DocSecurity>0</DocSecurity>
  <Lines>9</Lines>
  <Paragraphs>2</Paragraphs>
  <ScaleCrop>false</ScaleCrop>
  <Company>微软中国</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6</cp:revision>
  <cp:lastPrinted>2019-08-22T02:00:00Z</cp:lastPrinted>
  <dcterms:created xsi:type="dcterms:W3CDTF">2019-09-04T09:11:00Z</dcterms:created>
  <dcterms:modified xsi:type="dcterms:W3CDTF">2019-09-10T07:30:00Z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