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食品生产加工小作坊生产许可申请不予受理决定书</w:t>
      </w:r>
    </w:p>
    <w:bookmarkEnd w:id="0"/>
    <w:p>
      <w:pPr>
        <w:adjustRightInd w:val="0"/>
        <w:snapToGrid w:val="0"/>
        <w:spacing w:line="360" w:lineRule="auto"/>
        <w:jc w:val="center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）不受字〔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〕第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号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>申请人名称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你（单位）于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日，提出的行政许可申请收悉。经审查，</w:t>
      </w:r>
      <w:r>
        <w:rPr>
          <w:rFonts w:hint="eastAsia" w:eastAsia="仿宋_GB2312"/>
          <w:sz w:val="32"/>
          <w:szCs w:val="32"/>
          <w:u w:val="single"/>
        </w:rPr>
        <w:t>（申请行为不符合法律规定具体情形）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，不符合《中华人民共和国行政许可法》□第三十二条第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一款第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项</w:t>
      </w:r>
      <w:r>
        <w:rPr>
          <w:rFonts w:eastAsia="仿宋_GB2312"/>
          <w:sz w:val="32"/>
          <w:szCs w:val="32"/>
        </w:rPr>
        <w:t xml:space="preserve">, </w:t>
      </w:r>
      <w:r>
        <w:rPr>
          <w:rFonts w:hint="eastAsia" w:eastAsia="仿宋_GB2312"/>
          <w:sz w:val="32"/>
          <w:szCs w:val="32"/>
        </w:rPr>
        <w:t>□第七十八条</w:t>
      </w:r>
      <w:r>
        <w:rPr>
          <w:rFonts w:eastAsia="仿宋_GB2312"/>
          <w:sz w:val="32"/>
          <w:szCs w:val="32"/>
        </w:rPr>
        <w:t xml:space="preserve">, </w:t>
      </w:r>
      <w:r>
        <w:rPr>
          <w:rFonts w:hint="eastAsia" w:eastAsia="仿宋_GB2312"/>
          <w:sz w:val="32"/>
          <w:szCs w:val="32"/>
        </w:rPr>
        <w:t>□第七十九条，□《辽宁省食品安全条例》第六十八条的规定，决定不予受理。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如不服本决定，可以自收到本通知之日起</w:t>
      </w:r>
      <w:r>
        <w:rPr>
          <w:rFonts w:eastAsia="仿宋_GB2312"/>
          <w:sz w:val="32"/>
          <w:szCs w:val="32"/>
        </w:rPr>
        <w:t>60</w:t>
      </w:r>
      <w:r>
        <w:rPr>
          <w:rFonts w:hint="eastAsia" w:eastAsia="仿宋_GB2312"/>
          <w:sz w:val="32"/>
          <w:szCs w:val="32"/>
        </w:rPr>
        <w:t>日内依据《中华人民共和国行政复议法》的规定，申请行政复议，也可以自收到本通知之日起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个月内依据《中华人民共和国行政诉讼法》的规定，直接向人民法院提起行政诉讼。</w:t>
      </w:r>
    </w:p>
    <w:p>
      <w:pPr>
        <w:adjustRightInd w:val="0"/>
        <w:snapToGrid w:val="0"/>
        <w:spacing w:line="360" w:lineRule="auto"/>
        <w:ind w:left="5600" w:hanging="5600" w:hanging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</w:t>
      </w:r>
    </w:p>
    <w:p>
      <w:pPr>
        <w:adjustRightInd w:val="0"/>
        <w:snapToGrid w:val="0"/>
        <w:spacing w:line="360" w:lineRule="auto"/>
        <w:ind w:left="5600" w:hanging="5600" w:hangingChars="175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left="5325" w:leftChars="250" w:hanging="4800" w:hanging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</w:t>
      </w:r>
      <w:r>
        <w:rPr>
          <w:rFonts w:hint="eastAsia" w:eastAsia="仿宋_GB2312"/>
          <w:sz w:val="32"/>
          <w:szCs w:val="32"/>
        </w:rPr>
        <w:t>公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章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02B05"/>
    <w:rsid w:val="09241E4E"/>
    <w:rsid w:val="6FB46941"/>
    <w:rsid w:val="70E02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2019-11-18T02:58:00Z</dcterms:created>
  <dc:creator>zhaohonggang</dc:creator>
  <cp:lastModifiedBy>zhaohonggang</cp:lastModifiedBy>
  <dcterms:modified xsi:type="dcterms:W3CDTF">2019-11-18T03:00:30Z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