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5F" w:rsidRDefault="0070675F" w:rsidP="0070675F">
      <w:pPr>
        <w:ind w:firstLineChars="196" w:firstLine="531"/>
        <w:rPr>
          <w:rFonts w:asciiTheme="majorEastAsia" w:eastAsiaTheme="majorEastAsia" w:hAnsiTheme="majorEastAsia" w:hint="eastAsia"/>
          <w:spacing w:val="15"/>
          <w:sz w:val="24"/>
          <w:szCs w:val="24"/>
        </w:rPr>
      </w:pPr>
      <w:r w:rsidRPr="0070675F">
        <w:rPr>
          <w:rStyle w:val="a3"/>
          <w:rFonts w:asciiTheme="majorEastAsia" w:eastAsiaTheme="majorEastAsia" w:hAnsiTheme="majorEastAsia"/>
          <w:spacing w:val="15"/>
          <w:sz w:val="24"/>
          <w:szCs w:val="24"/>
        </w:rPr>
        <w:t>复工复产复市经营场所新冠肺炎疫情防控应急预案（模板）</w:t>
      </w:r>
      <w:r w:rsidRPr="0070675F">
        <w:rPr>
          <w:rFonts w:asciiTheme="majorEastAsia" w:eastAsiaTheme="majorEastAsia" w:hAnsiTheme="majorEastAsia"/>
          <w:sz w:val="24"/>
          <w:szCs w:val="24"/>
        </w:rPr>
        <w:br/>
      </w:r>
      <w:r w:rsidRPr="0070675F">
        <w:rPr>
          <w:rStyle w:val="a3"/>
          <w:rFonts w:asciiTheme="majorEastAsia" w:eastAsiaTheme="majorEastAsia" w:hAnsiTheme="majorEastAsia"/>
          <w:spacing w:val="15"/>
          <w:sz w:val="24"/>
          <w:szCs w:val="24"/>
        </w:rPr>
        <w:t>1 总则</w:t>
      </w:r>
      <w:r w:rsidRPr="0070675F">
        <w:rPr>
          <w:rFonts w:asciiTheme="majorEastAsia" w:eastAsiaTheme="majorEastAsia" w:hAnsiTheme="majorEastAsia"/>
          <w:b/>
          <w:bCs/>
          <w:spacing w:val="15"/>
          <w:sz w:val="24"/>
          <w:szCs w:val="24"/>
        </w:rPr>
        <w:br/>
      </w:r>
      <w:r w:rsidRPr="0070675F">
        <w:rPr>
          <w:rFonts w:asciiTheme="majorEastAsia" w:eastAsiaTheme="majorEastAsia" w:hAnsiTheme="majorEastAsia"/>
          <w:spacing w:val="15"/>
          <w:sz w:val="24"/>
          <w:szCs w:val="24"/>
        </w:rPr>
        <w:t>1.1 编制目的为有效预防、及时控制在复工复产复市经营场所新冠肺炎疫情的发生及蔓延，规范疫情应急处置应对工作，制定本预案。</w:t>
      </w:r>
      <w:r w:rsidRPr="0070675F">
        <w:rPr>
          <w:rFonts w:asciiTheme="majorEastAsia" w:eastAsiaTheme="majorEastAsia" w:hAnsiTheme="majorEastAsia"/>
          <w:spacing w:val="15"/>
          <w:sz w:val="24"/>
          <w:szCs w:val="24"/>
        </w:rPr>
        <w:br/>
        <w:t>1.2 编制依据《中华人民共和国突发事件应对法》《中华人民共和国传染病防治法》等。</w:t>
      </w:r>
      <w:r w:rsidRPr="0070675F">
        <w:rPr>
          <w:rFonts w:asciiTheme="majorEastAsia" w:eastAsiaTheme="majorEastAsia" w:hAnsiTheme="majorEastAsia"/>
          <w:spacing w:val="15"/>
          <w:sz w:val="24"/>
          <w:szCs w:val="24"/>
        </w:rPr>
        <w:br/>
        <w:t>1.3 适用范围本预案适用于我市各类复工复产复市经营场所新冠肺炎疫情相关突发情况的处置和应对，各场所可结合单位实际，借鉴参照，制定完善适用于本单位的应急预案及具体工作方案。</w:t>
      </w:r>
      <w:r w:rsidRPr="0070675F">
        <w:rPr>
          <w:rFonts w:asciiTheme="majorEastAsia" w:eastAsiaTheme="majorEastAsia" w:hAnsiTheme="majorEastAsia"/>
          <w:spacing w:val="15"/>
          <w:sz w:val="24"/>
          <w:szCs w:val="24"/>
        </w:rPr>
        <w:br/>
      </w:r>
      <w:r w:rsidRPr="0070675F">
        <w:rPr>
          <w:rStyle w:val="a3"/>
          <w:rFonts w:asciiTheme="majorEastAsia" w:eastAsiaTheme="majorEastAsia" w:hAnsiTheme="majorEastAsia"/>
          <w:spacing w:val="15"/>
          <w:sz w:val="24"/>
          <w:szCs w:val="24"/>
        </w:rPr>
        <w:t>2 强化主体责任和管理</w:t>
      </w:r>
      <w:r w:rsidRPr="0070675F">
        <w:rPr>
          <w:rFonts w:asciiTheme="majorEastAsia" w:eastAsiaTheme="majorEastAsia" w:hAnsiTheme="majorEastAsia"/>
          <w:spacing w:val="15"/>
          <w:sz w:val="24"/>
          <w:szCs w:val="24"/>
        </w:rPr>
        <w:br/>
        <w:t>各经营场所负责人是疫情防控第一责任人,要切实提高风险防范意识，加强通风消毒、健康监测、应急处置和从业人员管理，明确分工、责任到人，有效落实各项疫情防控工作。</w:t>
      </w:r>
      <w:r w:rsidRPr="0070675F">
        <w:rPr>
          <w:rFonts w:asciiTheme="majorEastAsia" w:eastAsiaTheme="majorEastAsia" w:hAnsiTheme="majorEastAsia"/>
          <w:sz w:val="24"/>
          <w:szCs w:val="24"/>
        </w:rPr>
        <w:br/>
      </w:r>
      <w:r w:rsidRPr="0070675F">
        <w:rPr>
          <w:rStyle w:val="a3"/>
          <w:rFonts w:asciiTheme="majorEastAsia" w:eastAsiaTheme="majorEastAsia" w:hAnsiTheme="majorEastAsia"/>
          <w:spacing w:val="15"/>
          <w:sz w:val="24"/>
          <w:szCs w:val="24"/>
        </w:rPr>
        <w:t>3 疫情响应</w:t>
      </w:r>
      <w:r w:rsidRPr="0070675F">
        <w:rPr>
          <w:rFonts w:asciiTheme="majorEastAsia" w:eastAsiaTheme="majorEastAsia" w:hAnsiTheme="majorEastAsia"/>
          <w:spacing w:val="15"/>
          <w:sz w:val="24"/>
          <w:szCs w:val="24"/>
        </w:rPr>
        <w:br/>
        <w:t>3.1 经营场所有效防控。消费者进入场所前，实行14日行程查询和</w:t>
      </w:r>
      <w:proofErr w:type="gramStart"/>
      <w:r w:rsidRPr="0070675F">
        <w:rPr>
          <w:rFonts w:asciiTheme="majorEastAsia" w:eastAsiaTheme="majorEastAsia" w:hAnsiTheme="majorEastAsia"/>
          <w:spacing w:val="15"/>
          <w:sz w:val="24"/>
          <w:szCs w:val="24"/>
        </w:rPr>
        <w:t>扫健康码</w:t>
      </w:r>
      <w:proofErr w:type="gramEnd"/>
      <w:r w:rsidRPr="0070675F">
        <w:rPr>
          <w:rFonts w:asciiTheme="majorEastAsia" w:eastAsiaTheme="majorEastAsia" w:hAnsiTheme="majorEastAsia"/>
          <w:spacing w:val="15"/>
          <w:sz w:val="24"/>
          <w:szCs w:val="24"/>
        </w:rPr>
        <w:t>准入管理，经查询“国务院客户端疫情防控行程卡”显示14日内重点地区来连人员，且无法提供7日内核酸检测阴性结果证明的；健康码为黄色或红色，或者有体温高于37.3</w:t>
      </w:r>
      <w:r w:rsidRPr="0070675F">
        <w:rPr>
          <w:rFonts w:asciiTheme="majorEastAsia" w:eastAsiaTheme="majorEastAsia" w:hAnsiTheme="majorEastAsia" w:cs="宋体" w:hint="eastAsia"/>
          <w:spacing w:val="15"/>
          <w:sz w:val="24"/>
          <w:szCs w:val="24"/>
        </w:rPr>
        <w:t>℃</w:t>
      </w:r>
      <w:r w:rsidRPr="0070675F">
        <w:rPr>
          <w:rFonts w:asciiTheme="majorEastAsia" w:eastAsiaTheme="majorEastAsia" w:hAnsiTheme="majorEastAsia"/>
          <w:spacing w:val="15"/>
          <w:sz w:val="24"/>
          <w:szCs w:val="24"/>
        </w:rPr>
        <w:t>、咳嗽、流涕、腹泻、结膜炎等不适症状的，一律不准进入，并提醒其按照要求做好隔离或者及时到医院就诊，信息要及时向属地政府和监管部门报告。</w:t>
      </w:r>
      <w:r w:rsidRPr="0070675F">
        <w:rPr>
          <w:rFonts w:asciiTheme="majorEastAsia" w:eastAsiaTheme="majorEastAsia" w:hAnsiTheme="majorEastAsia"/>
          <w:spacing w:val="15"/>
          <w:sz w:val="24"/>
          <w:szCs w:val="24"/>
        </w:rPr>
        <w:br/>
        <w:t>3.2 加强员工健康管理员工在每日健康监测时，有体温高于37.3</w:t>
      </w:r>
      <w:r w:rsidRPr="0070675F">
        <w:rPr>
          <w:rFonts w:asciiTheme="majorEastAsia" w:eastAsiaTheme="majorEastAsia" w:hAnsiTheme="majorEastAsia" w:cs="宋体" w:hint="eastAsia"/>
          <w:spacing w:val="15"/>
          <w:sz w:val="24"/>
          <w:szCs w:val="24"/>
        </w:rPr>
        <w:t>℃</w:t>
      </w:r>
      <w:r w:rsidRPr="0070675F">
        <w:rPr>
          <w:rFonts w:asciiTheme="majorEastAsia" w:eastAsiaTheme="majorEastAsia" w:hAnsiTheme="majorEastAsia"/>
          <w:spacing w:val="15"/>
          <w:sz w:val="24"/>
          <w:szCs w:val="24"/>
        </w:rPr>
        <w:t>、咳嗽、流涕、腹泻、结膜炎等不适症状的，禁止到岗，要求尽快到医疗机构进行诊治，安排专人追踪其健康状况。同时，通知与就诊人员同住、同食或同一密闭工作环境的接触者，暂停工作，居家或指定隔离观察区域隔离观察，等待医疗机构检查结果。</w:t>
      </w:r>
      <w:r w:rsidRPr="0070675F">
        <w:rPr>
          <w:rFonts w:asciiTheme="majorEastAsia" w:eastAsiaTheme="majorEastAsia" w:hAnsiTheme="majorEastAsia"/>
          <w:sz w:val="24"/>
          <w:szCs w:val="24"/>
        </w:rPr>
        <w:br/>
      </w:r>
      <w:r w:rsidRPr="0070675F">
        <w:rPr>
          <w:rFonts w:asciiTheme="majorEastAsia" w:eastAsiaTheme="majorEastAsia" w:hAnsiTheme="majorEastAsia"/>
          <w:spacing w:val="15"/>
          <w:sz w:val="24"/>
          <w:szCs w:val="24"/>
        </w:rPr>
        <w:t>3.3 应急响应经医疗机构诊断，如排除新冠肺炎患者，恢复生产。如不能排除，按照</w:t>
      </w:r>
      <w:proofErr w:type="gramStart"/>
      <w:r w:rsidRPr="0070675F">
        <w:rPr>
          <w:rFonts w:asciiTheme="majorEastAsia" w:eastAsiaTheme="majorEastAsia" w:hAnsiTheme="majorEastAsia"/>
          <w:spacing w:val="15"/>
          <w:sz w:val="24"/>
          <w:szCs w:val="24"/>
        </w:rPr>
        <w:t>疾控机构</w:t>
      </w:r>
      <w:proofErr w:type="gramEnd"/>
      <w:r w:rsidRPr="0070675F">
        <w:rPr>
          <w:rFonts w:asciiTheme="majorEastAsia" w:eastAsiaTheme="majorEastAsia" w:hAnsiTheme="majorEastAsia"/>
          <w:spacing w:val="15"/>
          <w:sz w:val="24"/>
          <w:szCs w:val="24"/>
        </w:rPr>
        <w:t>要求，配合开展疫情防控相关工作。</w:t>
      </w:r>
      <w:r w:rsidRPr="0070675F">
        <w:rPr>
          <w:rFonts w:asciiTheme="majorEastAsia" w:eastAsiaTheme="majorEastAsia" w:hAnsiTheme="majorEastAsia"/>
          <w:spacing w:val="15"/>
          <w:sz w:val="24"/>
          <w:szCs w:val="24"/>
        </w:rPr>
        <w:br/>
      </w:r>
      <w:r w:rsidRPr="0070675F">
        <w:rPr>
          <w:rStyle w:val="a3"/>
          <w:rFonts w:asciiTheme="majorEastAsia" w:eastAsiaTheme="majorEastAsia" w:hAnsiTheme="majorEastAsia"/>
          <w:spacing w:val="15"/>
          <w:sz w:val="24"/>
          <w:szCs w:val="24"/>
        </w:rPr>
        <w:t>4 保障措施</w:t>
      </w:r>
      <w:r w:rsidRPr="0070675F">
        <w:rPr>
          <w:rFonts w:asciiTheme="majorEastAsia" w:eastAsiaTheme="majorEastAsia" w:hAnsiTheme="majorEastAsia"/>
          <w:b/>
          <w:bCs/>
          <w:spacing w:val="15"/>
          <w:sz w:val="24"/>
          <w:szCs w:val="24"/>
        </w:rPr>
        <w:br/>
      </w:r>
      <w:r w:rsidRPr="0070675F">
        <w:rPr>
          <w:rFonts w:asciiTheme="majorEastAsia" w:eastAsiaTheme="majorEastAsia" w:hAnsiTheme="majorEastAsia"/>
          <w:spacing w:val="15"/>
          <w:sz w:val="24"/>
          <w:szCs w:val="24"/>
        </w:rPr>
        <w:t>4.1 人员保障科学合理地安排疫情防控人员，落实工作责任，畅通联络渠道，加强信息沟通，确保疫情防控工作快速、高效运转。</w:t>
      </w:r>
      <w:r w:rsidRPr="0070675F">
        <w:rPr>
          <w:rFonts w:asciiTheme="majorEastAsia" w:eastAsiaTheme="majorEastAsia" w:hAnsiTheme="majorEastAsia"/>
          <w:spacing w:val="15"/>
          <w:sz w:val="24"/>
          <w:szCs w:val="24"/>
        </w:rPr>
        <w:br/>
        <w:t>4.2 物资、场所保障根据疫情防控需要，做好复工复产复市前防疫物资储备；在经营场所、员工集体住宿场所等区域设置隔离观察区域。</w:t>
      </w:r>
      <w:r w:rsidRPr="0070675F">
        <w:rPr>
          <w:rFonts w:asciiTheme="majorEastAsia" w:eastAsiaTheme="majorEastAsia" w:hAnsiTheme="majorEastAsia"/>
          <w:spacing w:val="15"/>
          <w:sz w:val="24"/>
          <w:szCs w:val="24"/>
        </w:rPr>
        <w:br/>
        <w:t>4.3 医疗保障企业及时了解掌握当地医疗机构发热门诊分布情况，指定专人负责沟通联络。</w:t>
      </w: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70675F" w:rsidRDefault="0070675F" w:rsidP="0070675F">
      <w:pPr>
        <w:ind w:firstLineChars="196" w:firstLine="529"/>
        <w:rPr>
          <w:rFonts w:asciiTheme="majorEastAsia" w:eastAsiaTheme="majorEastAsia" w:hAnsiTheme="majorEastAsia" w:hint="eastAsia"/>
          <w:spacing w:val="15"/>
          <w:sz w:val="24"/>
          <w:szCs w:val="24"/>
        </w:rPr>
      </w:pPr>
    </w:p>
    <w:p w:rsidR="005E7075" w:rsidRDefault="0070675F" w:rsidP="0070675F">
      <w:pPr>
        <w:ind w:firstLineChars="196" w:firstLine="529"/>
        <w:rPr>
          <w:rStyle w:val="a3"/>
          <w:rFonts w:asciiTheme="majorEastAsia" w:eastAsiaTheme="majorEastAsia" w:hAnsiTheme="majorEastAsia" w:hint="eastAsia"/>
          <w:spacing w:val="15"/>
          <w:sz w:val="24"/>
          <w:szCs w:val="24"/>
        </w:rPr>
      </w:pPr>
      <w:r w:rsidRPr="0070675F">
        <w:rPr>
          <w:rFonts w:asciiTheme="majorEastAsia" w:eastAsiaTheme="majorEastAsia" w:hAnsiTheme="majorEastAsia"/>
          <w:spacing w:val="15"/>
          <w:sz w:val="24"/>
          <w:szCs w:val="24"/>
        </w:rPr>
        <w:lastRenderedPageBreak/>
        <w:br/>
      </w:r>
      <w:r w:rsidRPr="0070675F">
        <w:rPr>
          <w:rStyle w:val="a3"/>
          <w:rFonts w:asciiTheme="majorEastAsia" w:eastAsiaTheme="majorEastAsia" w:hAnsiTheme="majorEastAsia"/>
          <w:spacing w:val="15"/>
          <w:sz w:val="24"/>
          <w:szCs w:val="24"/>
        </w:rPr>
        <w:t>5 应急处置流程</w:t>
      </w:r>
    </w:p>
    <w:p w:rsidR="0070675F" w:rsidRPr="0070675F" w:rsidRDefault="0070675F" w:rsidP="0070675F">
      <w:pPr>
        <w:ind w:firstLineChars="196" w:firstLine="470"/>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5274310" cy="6296025"/>
            <wp:effectExtent l="19050" t="0" r="2540" b="0"/>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a:stretch>
                      <a:fillRect/>
                    </a:stretch>
                  </pic:blipFill>
                  <pic:spPr>
                    <a:xfrm>
                      <a:off x="0" y="0"/>
                      <a:ext cx="5274310" cy="6296025"/>
                    </a:xfrm>
                    <a:prstGeom prst="rect">
                      <a:avLst/>
                    </a:prstGeom>
                  </pic:spPr>
                </pic:pic>
              </a:graphicData>
            </a:graphic>
          </wp:inline>
        </w:drawing>
      </w:r>
    </w:p>
    <w:sectPr w:rsidR="0070675F" w:rsidRPr="0070675F" w:rsidSect="005E70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675F"/>
    <w:rsid w:val="005E7075"/>
    <w:rsid w:val="00706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675F"/>
    <w:rPr>
      <w:b/>
      <w:bCs/>
    </w:rPr>
  </w:style>
  <w:style w:type="paragraph" w:styleId="a4">
    <w:name w:val="Balloon Text"/>
    <w:basedOn w:val="a"/>
    <w:link w:val="Char"/>
    <w:uiPriority w:val="99"/>
    <w:semiHidden/>
    <w:unhideWhenUsed/>
    <w:rsid w:val="0070675F"/>
    <w:rPr>
      <w:sz w:val="18"/>
      <w:szCs w:val="18"/>
    </w:rPr>
  </w:style>
  <w:style w:type="character" w:customStyle="1" w:styleId="Char">
    <w:name w:val="批注框文本 Char"/>
    <w:basedOn w:val="a0"/>
    <w:link w:val="a4"/>
    <w:uiPriority w:val="99"/>
    <w:semiHidden/>
    <w:rsid w:val="007067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2020-06-01T04:48:00Z</dcterms:created>
  <dcterms:modified xsi:type="dcterms:W3CDTF">2020-06-01T04:49:00Z</dcterms:modified>
</cp:coreProperties>
</file>