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wordWrap/>
        <w:overflowPunct/>
        <w:topLinePunct w:val="0"/>
        <w:autoSpaceDE/>
        <w:autoSpaceDN/>
        <w:bidi w:val="0"/>
        <w:adjustRightInd/>
        <w:snapToGrid/>
        <w:spacing w:beforeAutospacing="0" w:afterAutospacing="0"/>
        <w:ind w:firstLine="0" w:firstLineChars="0"/>
        <w:jc w:val="center"/>
        <w:textAlignment w:val="auto"/>
        <w:rPr>
          <w:rFonts w:hint="eastAsia" w:ascii="仿宋_GB2312" w:hAnsi="仿宋" w:eastAsia="仿宋_GB2312" w:cs="仿宋"/>
          <w:b/>
          <w:sz w:val="44"/>
          <w:szCs w:val="44"/>
        </w:rPr>
      </w:pPr>
      <w:r>
        <w:rPr>
          <w:rFonts w:hint="eastAsia" w:ascii="仿宋_GB2312" w:hAnsi="仿宋" w:eastAsia="仿宋_GB2312" w:cs="仿宋"/>
          <w:b/>
          <w:sz w:val="44"/>
          <w:szCs w:val="44"/>
          <w:lang w:val="en-US" w:eastAsia="zh-CN"/>
        </w:rPr>
        <w:t>教育部学籍在线验证报告下载</w:t>
      </w:r>
      <w:r>
        <w:rPr>
          <w:rFonts w:hint="eastAsia" w:ascii="仿宋_GB2312" w:hAnsi="仿宋" w:eastAsia="仿宋_GB2312" w:cs="仿宋"/>
          <w:b/>
          <w:sz w:val="44"/>
          <w:szCs w:val="44"/>
        </w:rPr>
        <w:t>流程</w:t>
      </w:r>
    </w:p>
    <w:p>
      <w:pPr>
        <w:pStyle w:val="2"/>
        <w:widowControl/>
        <w:spacing w:beforeAutospacing="0" w:afterAutospacing="0"/>
        <w:ind w:firstLine="1546" w:firstLineChars="350"/>
        <w:rPr>
          <w:rFonts w:hint="eastAsia" w:ascii="仿宋_GB2312" w:hAnsi="仿宋" w:eastAsia="仿宋_GB2312" w:cs="仿宋"/>
          <w:b/>
          <w:sz w:val="44"/>
          <w:szCs w:val="44"/>
        </w:rPr>
      </w:pPr>
    </w:p>
    <w:p>
      <w:pPr>
        <w:pStyle w:val="2"/>
        <w:widowControl/>
        <w:numPr>
          <w:ilvl w:val="0"/>
          <w:numId w:val="1"/>
        </w:numPr>
        <w:spacing w:beforeAutospacing="0" w:afterAutospacing="0"/>
        <w:ind w:left="425" w:leftChars="0" w:hanging="425" w:firstLineChars="0"/>
        <w:rPr>
          <w:rFonts w:hint="default" w:ascii="仿宋_GB2312" w:hAnsi="仿宋" w:eastAsia="仿宋_GB2312" w:cs="仿宋"/>
          <w:b w:val="0"/>
          <w:bCs/>
          <w:sz w:val="32"/>
          <w:szCs w:val="32"/>
          <w:lang w:val="en-US" w:eastAsia="zh-CN"/>
        </w:rPr>
      </w:pPr>
      <w:r>
        <w:rPr>
          <w:rFonts w:hint="eastAsia" w:ascii="仿宋_GB2312" w:hAnsi="仿宋" w:eastAsia="仿宋_GB2312" w:cs="仿宋"/>
          <w:b w:val="0"/>
          <w:bCs/>
          <w:sz w:val="32"/>
          <w:szCs w:val="32"/>
          <w:lang w:val="en-US" w:eastAsia="zh-CN"/>
        </w:rPr>
        <w:t>进入</w:t>
      </w:r>
      <w:r>
        <w:rPr>
          <w:rFonts w:hint="eastAsia" w:ascii="仿宋_GB2312" w:hAnsi="仿宋" w:eastAsia="仿宋_GB2312" w:cs="仿宋"/>
          <w:b w:val="0"/>
          <w:bCs/>
          <w:sz w:val="32"/>
          <w:szCs w:val="32"/>
        </w:rPr>
        <w:t>中国高等教育学生信息网(学信网)（网址</w:t>
      </w:r>
      <w:r>
        <w:rPr>
          <w:rFonts w:hint="eastAsia" w:ascii="仿宋_GB2312" w:hAnsi="仿宋" w:eastAsia="仿宋_GB2312" w:cs="仿宋"/>
          <w:b w:val="0"/>
          <w:bCs/>
          <w:sz w:val="32"/>
          <w:szCs w:val="32"/>
          <w:lang w:eastAsia="zh-CN"/>
        </w:rPr>
        <w:t>：</w:t>
      </w:r>
      <w:r>
        <w:rPr>
          <w:rFonts w:hint="eastAsia" w:ascii="仿宋_GB2312" w:hAnsi="仿宋" w:eastAsia="仿宋_GB2312" w:cs="仿宋"/>
          <w:b w:val="0"/>
          <w:bCs/>
          <w:sz w:val="32"/>
          <w:szCs w:val="32"/>
        </w:rPr>
        <w:fldChar w:fldCharType="begin"/>
      </w:r>
      <w:r>
        <w:rPr>
          <w:rFonts w:hint="eastAsia" w:ascii="仿宋_GB2312" w:hAnsi="仿宋" w:eastAsia="仿宋_GB2312" w:cs="仿宋"/>
          <w:b w:val="0"/>
          <w:bCs/>
          <w:sz w:val="32"/>
          <w:szCs w:val="32"/>
        </w:rPr>
        <w:instrText xml:space="preserve"> HYPERLINK "https://www.chsi.com.cn/" </w:instrText>
      </w:r>
      <w:r>
        <w:rPr>
          <w:rFonts w:hint="eastAsia" w:ascii="仿宋_GB2312" w:hAnsi="仿宋" w:eastAsia="仿宋_GB2312" w:cs="仿宋"/>
          <w:b w:val="0"/>
          <w:bCs/>
          <w:sz w:val="32"/>
          <w:szCs w:val="32"/>
        </w:rPr>
        <w:fldChar w:fldCharType="separate"/>
      </w:r>
      <w:r>
        <w:rPr>
          <w:rStyle w:val="5"/>
          <w:rFonts w:hint="eastAsia" w:ascii="仿宋_GB2312" w:hAnsi="仿宋" w:eastAsia="仿宋_GB2312" w:cs="仿宋"/>
          <w:b w:val="0"/>
          <w:bCs/>
          <w:sz w:val="32"/>
          <w:szCs w:val="32"/>
        </w:rPr>
        <w:t>https://www.chsi.com.cn/</w:t>
      </w:r>
      <w:r>
        <w:rPr>
          <w:rFonts w:hint="eastAsia" w:ascii="仿宋_GB2312" w:hAnsi="仿宋" w:eastAsia="仿宋_GB2312" w:cs="仿宋"/>
          <w:b w:val="0"/>
          <w:bCs/>
          <w:sz w:val="32"/>
          <w:szCs w:val="32"/>
        </w:rPr>
        <w:fldChar w:fldCharType="end"/>
      </w:r>
    </w:p>
    <w:p>
      <w:pPr>
        <w:pStyle w:val="2"/>
        <w:widowControl/>
        <w:numPr>
          <w:ilvl w:val="0"/>
          <w:numId w:val="0"/>
        </w:numPr>
        <w:spacing w:beforeAutospacing="0" w:afterAutospacing="0"/>
        <w:ind w:leftChars="0"/>
        <w:rPr>
          <w:rFonts w:hint="default" w:ascii="仿宋_GB2312" w:hAnsi="仿宋" w:eastAsia="仿宋_GB2312" w:cs="仿宋"/>
          <w:b w:val="0"/>
          <w:bCs/>
          <w:sz w:val="32"/>
          <w:szCs w:val="32"/>
          <w:lang w:val="en-US" w:eastAsia="zh-CN"/>
        </w:rPr>
      </w:pPr>
    </w:p>
    <w:p>
      <w:pPr>
        <w:pStyle w:val="2"/>
        <w:widowControl/>
        <w:numPr>
          <w:ilvl w:val="0"/>
          <w:numId w:val="1"/>
        </w:numPr>
        <w:spacing w:beforeAutospacing="0" w:afterAutospacing="0"/>
        <w:ind w:left="425" w:leftChars="0" w:hanging="425" w:firstLineChars="0"/>
        <w:rPr>
          <w:rFonts w:hint="default" w:ascii="仿宋_GB2312" w:hAnsi="仿宋" w:eastAsia="仿宋_GB2312" w:cs="仿宋"/>
          <w:b w:val="0"/>
          <w:bCs/>
          <w:sz w:val="32"/>
          <w:szCs w:val="32"/>
          <w:lang w:val="en-US" w:eastAsia="zh-CN"/>
        </w:rPr>
      </w:pPr>
      <w:r>
        <w:rPr>
          <w:rFonts w:hint="eastAsia" w:ascii="仿宋_GB2312" w:hAnsi="仿宋" w:eastAsia="仿宋_GB2312" w:cs="仿宋"/>
          <w:b w:val="0"/>
          <w:bCs/>
          <w:sz w:val="32"/>
          <w:szCs w:val="32"/>
          <w:lang w:val="en-US" w:eastAsia="zh-CN"/>
        </w:rPr>
        <w:t>点击右侧“学信档案”下面的登陆</w:t>
      </w:r>
    </w:p>
    <w:p>
      <w:pPr>
        <w:pStyle w:val="2"/>
        <w:widowControl/>
        <w:numPr>
          <w:ilvl w:val="0"/>
          <w:numId w:val="0"/>
        </w:numPr>
        <w:spacing w:beforeAutospacing="0" w:afterAutospacing="0"/>
        <w:ind w:leftChars="0"/>
        <w:rPr>
          <w:rFonts w:hint="eastAsia" w:eastAsiaTheme="minorEastAsia"/>
          <w:lang w:eastAsia="zh-CN"/>
        </w:rPr>
      </w:pPr>
      <w:r>
        <w:rPr>
          <w:rFonts w:hint="eastAsia" w:eastAsiaTheme="minorEastAsia"/>
          <w:lang w:eastAsia="zh-CN"/>
        </w:rPr>
        <w:drawing>
          <wp:inline distT="0" distB="0" distL="114300" distR="114300">
            <wp:extent cx="5264785" cy="3830955"/>
            <wp:effectExtent l="0" t="0" r="12065" b="17145"/>
            <wp:docPr id="6" name="图片 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标题-1"/>
                    <pic:cNvPicPr>
                      <a:picLocks noChangeAspect="1"/>
                    </pic:cNvPicPr>
                  </pic:nvPicPr>
                  <pic:blipFill>
                    <a:blip r:embed="rId4"/>
                    <a:stretch>
                      <a:fillRect/>
                    </a:stretch>
                  </pic:blipFill>
                  <pic:spPr>
                    <a:xfrm>
                      <a:off x="0" y="0"/>
                      <a:ext cx="5264785" cy="3830955"/>
                    </a:xfrm>
                    <a:prstGeom prst="rect">
                      <a:avLst/>
                    </a:prstGeom>
                  </pic:spPr>
                </pic:pic>
              </a:graphicData>
            </a:graphic>
          </wp:inline>
        </w:drawing>
      </w:r>
    </w:p>
    <w:p>
      <w:pPr>
        <w:pStyle w:val="2"/>
        <w:widowControl/>
        <w:numPr>
          <w:ilvl w:val="0"/>
          <w:numId w:val="0"/>
        </w:numPr>
        <w:spacing w:beforeAutospacing="0" w:afterAutospacing="0"/>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网页跳转到学信档案登陆页面。未注册用户点击注册学信网账号进行账号注册并登录；已经注册过的用户可以使用账号密码或者短信验证码等方式进行登录。</w:t>
      </w:r>
    </w:p>
    <w:p>
      <w:pPr>
        <w:pStyle w:val="2"/>
        <w:widowControl/>
        <w:numPr>
          <w:ilvl w:val="0"/>
          <w:numId w:val="0"/>
        </w:numPr>
        <w:spacing w:beforeAutospacing="0" w:afterAutospacing="0"/>
        <w:ind w:leftChars="0"/>
      </w:pPr>
    </w:p>
    <w:p>
      <w:pPr>
        <w:pStyle w:val="2"/>
        <w:widowControl/>
        <w:numPr>
          <w:ilvl w:val="0"/>
          <w:numId w:val="0"/>
        </w:numPr>
        <w:spacing w:beforeAutospacing="0" w:afterAutospacing="0"/>
        <w:ind w:leftChars="0"/>
        <w:rPr>
          <w:rFonts w:hint="eastAsia"/>
          <w:lang w:val="en-US" w:eastAsia="zh-CN"/>
        </w:rPr>
      </w:pPr>
    </w:p>
    <w:p>
      <w:pPr>
        <w:numPr>
          <w:ilvl w:val="0"/>
          <w:numId w:val="1"/>
        </w:numPr>
        <w:ind w:left="425" w:leftChars="0" w:hanging="425" w:firstLineChars="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用户登陆进去后点击“在线验证报告”下方的“查看”</w:t>
      </w:r>
    </w:p>
    <w:p>
      <w:pPr>
        <w:numPr>
          <w:ilvl w:val="0"/>
          <w:numId w:val="0"/>
        </w:numPr>
        <w:ind w:leftChars="0"/>
        <w:jc w:val="center"/>
        <w:rPr>
          <w:rFonts w:hint="eastAsia" w:eastAsiaTheme="minorEastAsia"/>
          <w:lang w:eastAsia="zh-CN"/>
        </w:rPr>
      </w:pPr>
      <w:r>
        <w:rPr>
          <w:rFonts w:hint="eastAsia" w:eastAsiaTheme="minorEastAsia"/>
          <w:lang w:eastAsia="zh-CN"/>
        </w:rPr>
        <w:drawing>
          <wp:inline distT="0" distB="0" distL="114300" distR="114300">
            <wp:extent cx="5264785" cy="2955290"/>
            <wp:effectExtent l="0" t="0" r="12065" b="16510"/>
            <wp:docPr id="7" name="图片 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1"/>
                    <pic:cNvPicPr>
                      <a:picLocks noChangeAspect="1"/>
                    </pic:cNvPicPr>
                  </pic:nvPicPr>
                  <pic:blipFill>
                    <a:blip r:embed="rId5"/>
                    <a:stretch>
                      <a:fillRect/>
                    </a:stretch>
                  </pic:blipFill>
                  <pic:spPr>
                    <a:xfrm>
                      <a:off x="0" y="0"/>
                      <a:ext cx="5264785" cy="2955290"/>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点击进去后选择左侧“教育部学籍在线验证报告”下方的“查看”</w:t>
      </w:r>
      <w:r>
        <w:rPr>
          <w:rFonts w:hint="eastAsia" w:ascii="仿宋" w:hAnsi="仿宋" w:eastAsia="仿宋" w:cs="仿宋"/>
          <w:sz w:val="32"/>
          <w:szCs w:val="32"/>
          <w:lang w:val="en-US" w:eastAsia="zh-CN"/>
        </w:rPr>
        <w:drawing>
          <wp:inline distT="0" distB="0" distL="114300" distR="114300">
            <wp:extent cx="5270500" cy="1910080"/>
            <wp:effectExtent l="0" t="0" r="6350" b="13970"/>
            <wp:docPr id="8" name="图片 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标题-1"/>
                    <pic:cNvPicPr>
                      <a:picLocks noChangeAspect="1"/>
                    </pic:cNvPicPr>
                  </pic:nvPicPr>
                  <pic:blipFill>
                    <a:blip r:embed="rId6"/>
                    <a:stretch>
                      <a:fillRect/>
                    </a:stretch>
                  </pic:blipFill>
                  <pic:spPr>
                    <a:xfrm>
                      <a:off x="0" y="0"/>
                      <a:ext cx="5270500" cy="1910080"/>
                    </a:xfrm>
                    <a:prstGeom prst="rect">
                      <a:avLst/>
                    </a:prstGeom>
                  </pic:spPr>
                </pic:pic>
              </a:graphicData>
            </a:graphic>
          </wp:inline>
        </w:drawing>
      </w:r>
    </w:p>
    <w:p>
      <w:pPr>
        <w:numPr>
          <w:ilvl w:val="0"/>
          <w:numId w:val="0"/>
        </w:numPr>
        <w:jc w:val="left"/>
        <w:rPr>
          <w:rFonts w:hint="eastAsia" w:eastAsiaTheme="minorEastAsia"/>
          <w:lang w:eastAsia="zh-CN"/>
        </w:rPr>
      </w:pPr>
      <w:r>
        <w:rPr>
          <w:rFonts w:hint="eastAsia" w:eastAsiaTheme="minorEastAsia"/>
          <w:lang w:eastAsia="zh-CN"/>
        </w:rPr>
        <w:drawing>
          <wp:inline distT="0" distB="0" distL="114300" distR="114300">
            <wp:extent cx="5265420" cy="2520315"/>
            <wp:effectExtent l="0" t="0" r="11430" b="13335"/>
            <wp:docPr id="9" name="图片 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标题-1"/>
                    <pic:cNvPicPr>
                      <a:picLocks noChangeAspect="1"/>
                    </pic:cNvPicPr>
                  </pic:nvPicPr>
                  <pic:blipFill>
                    <a:blip r:embed="rId7"/>
                    <a:stretch>
                      <a:fillRect/>
                    </a:stretch>
                  </pic:blipFill>
                  <pic:spPr>
                    <a:xfrm>
                      <a:off x="0" y="0"/>
                      <a:ext cx="5265420" cy="2520315"/>
                    </a:xfrm>
                    <a:prstGeom prst="rect">
                      <a:avLst/>
                    </a:prstGeom>
                  </pic:spPr>
                </pic:pic>
              </a:graphicData>
            </a:graphic>
          </wp:inline>
        </w:drawing>
      </w:r>
    </w:p>
    <w:p>
      <w:pPr>
        <w:numPr>
          <w:ilvl w:val="0"/>
          <w:numId w:val="0"/>
        </w:numPr>
        <w:jc w:val="left"/>
        <w:rPr>
          <w:rFonts w:hint="eastAsia"/>
          <w:lang w:val="en-US" w:eastAsia="zh-CN"/>
        </w:rPr>
      </w:pPr>
    </w:p>
    <w:p>
      <w:pPr>
        <w:numPr>
          <w:ilvl w:val="0"/>
          <w:numId w:val="1"/>
        </w:numPr>
        <w:ind w:left="425" w:leftChars="0" w:hanging="425" w:firstLine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点击“查看”如未申请先选择申请之后点击“查看”。然后在已申请的报告列表中选择报告后方的“查看”</w:t>
      </w:r>
    </w:p>
    <w:p>
      <w:pPr>
        <w:numPr>
          <w:ilvl w:val="0"/>
          <w:numId w:val="0"/>
        </w:numPr>
        <w:ind w:leftChars="0"/>
        <w:jc w:val="cente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70500" cy="1983105"/>
            <wp:effectExtent l="0" t="0" r="6350" b="17145"/>
            <wp:docPr id="12" name="图片 1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未标题-1"/>
                    <pic:cNvPicPr>
                      <a:picLocks noChangeAspect="1"/>
                    </pic:cNvPicPr>
                  </pic:nvPicPr>
                  <pic:blipFill>
                    <a:blip r:embed="rId8"/>
                    <a:stretch>
                      <a:fillRect/>
                    </a:stretch>
                  </pic:blipFill>
                  <pic:spPr>
                    <a:xfrm>
                      <a:off x="0" y="0"/>
                      <a:ext cx="5270500" cy="1983105"/>
                    </a:xfrm>
                    <a:prstGeom prst="rect">
                      <a:avLst/>
                    </a:prstGeom>
                  </pic:spPr>
                </pic:pic>
              </a:graphicData>
            </a:graphic>
          </wp:inline>
        </w:drawing>
      </w:r>
    </w:p>
    <w:p>
      <w:pPr>
        <w:numPr>
          <w:ilvl w:val="0"/>
          <w:numId w:val="0"/>
        </w:numPr>
        <w:ind w:leftChars="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打开后可以看到教育部学籍在线验证报告，点击报告右上方的PDF 进行下载即可。</w:t>
      </w:r>
    </w:p>
    <w:p>
      <w:pPr>
        <w:numPr>
          <w:ilvl w:val="0"/>
          <w:numId w:val="0"/>
        </w:numPr>
        <w:ind w:leftChars="0"/>
        <w:jc w:val="left"/>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68595" cy="2466975"/>
            <wp:effectExtent l="0" t="0" r="8255" b="9525"/>
            <wp:docPr id="13" name="图片 1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未标题-1"/>
                    <pic:cNvPicPr>
                      <a:picLocks noChangeAspect="1"/>
                    </pic:cNvPicPr>
                  </pic:nvPicPr>
                  <pic:blipFill>
                    <a:blip r:embed="rId9"/>
                    <a:stretch>
                      <a:fillRect/>
                    </a:stretch>
                  </pic:blipFill>
                  <pic:spPr>
                    <a:xfrm>
                      <a:off x="0" y="0"/>
                      <a:ext cx="5268595" cy="246697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07D161"/>
    <w:multiLevelType w:val="singleLevel"/>
    <w:tmpl w:val="C807D161"/>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8560BE"/>
    <w:rsid w:val="22220EDB"/>
    <w:rsid w:val="3F7D2B7E"/>
    <w:rsid w:val="580D7179"/>
    <w:rsid w:val="677E2735"/>
    <w:rsid w:val="7F742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semiHidden/>
    <w:unhideWhenUsed/>
    <w:qFormat/>
    <w:uiPriority w:val="99"/>
    <w:pPr>
      <w:spacing w:beforeAutospacing="1" w:afterAutospacing="1"/>
      <w:jc w:val="left"/>
    </w:pPr>
    <w:rPr>
      <w:rFonts w:cs="Times New Roman"/>
      <w:kern w:val="0"/>
      <w:sz w:val="24"/>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257</Words>
  <Characters>282</Characters>
  <Lines>0</Lines>
  <Paragraphs>0</Paragraphs>
  <TotalTime>10</TotalTime>
  <ScaleCrop>false</ScaleCrop>
  <LinksUpToDate>false</LinksUpToDate>
  <CharactersWithSpaces>283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2022-03-30T08:24:00Z</dcterms:created>
  <dc:creator>Administrator</dc:creator>
  <cp:lastModifiedBy>岁杪十八</cp:lastModifiedBy>
  <dcterms:modified xsi:type="dcterms:W3CDTF">2022-03-31T03:40:03Z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2FCD3ADADF8240CB8E8A916021F5C31A</vt:lpwstr>
  </property>
</Properties>
</file>