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仿宋_GB2312" w:eastAsia="仿宋_GB2312"/>
          <w:sz w:val="36"/>
          <w:szCs w:val="36"/>
        </w:rPr>
      </w:pPr>
    </w:p>
    <w:p>
      <w:pPr>
        <w:widowControl/>
        <w:spacing w:line="330" w:lineRule="atLeast"/>
        <w:jc w:val="center"/>
        <w:rPr>
          <w:rFonts w:ascii="仿宋" w:hAnsi="仿宋" w:eastAsia="仿宋"/>
          <w:b/>
          <w:bCs/>
          <w:sz w:val="36"/>
          <w:szCs w:val="36"/>
        </w:rPr>
      </w:pPr>
      <w:r>
        <w:rPr>
          <w:rFonts w:hint="eastAsia" w:ascii="仿宋" w:hAnsi="仿宋" w:eastAsia="仿宋" w:cs="仿宋"/>
          <w:b/>
          <w:bCs/>
          <w:sz w:val="36"/>
          <w:szCs w:val="36"/>
        </w:rPr>
        <w:t>高新区住房和城市建设管理局</w:t>
      </w:r>
      <w:r>
        <w:rPr>
          <w:rFonts w:ascii="仿宋" w:hAnsi="仿宋" w:eastAsia="仿宋" w:cs="仿宋"/>
          <w:b/>
          <w:bCs/>
          <w:color w:val="000000"/>
          <w:kern w:val="0"/>
          <w:sz w:val="36"/>
          <w:szCs w:val="36"/>
        </w:rPr>
        <w:t>202</w:t>
      </w:r>
      <w:r>
        <w:rPr>
          <w:rFonts w:hint="eastAsia" w:ascii="仿宋" w:hAnsi="仿宋" w:eastAsia="仿宋" w:cs="仿宋"/>
          <w:b/>
          <w:bCs/>
          <w:color w:val="000000"/>
          <w:kern w:val="0"/>
          <w:sz w:val="36"/>
          <w:szCs w:val="36"/>
        </w:rPr>
        <w:t>2年部门预算</w:t>
      </w:r>
    </w:p>
    <w:p>
      <w:pPr>
        <w:widowControl/>
        <w:spacing w:line="330" w:lineRule="atLeast"/>
        <w:ind w:firstLine="602" w:firstLineChars="200"/>
        <w:jc w:val="left"/>
        <w:rPr>
          <w:rFonts w:ascii="仿宋" w:hAnsi="仿宋" w:eastAsia="仿宋"/>
          <w:b/>
          <w:bCs/>
          <w:sz w:val="30"/>
          <w:szCs w:val="30"/>
        </w:rPr>
      </w:pPr>
      <w:r>
        <w:rPr>
          <w:rFonts w:ascii="仿宋" w:hAnsi="仿宋" w:eastAsia="仿宋" w:cs="仿宋"/>
          <w:b/>
          <w:bCs/>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第一部分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部门概况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一、主要职责：</w:t>
      </w:r>
    </w:p>
    <w:p>
      <w:pPr>
        <w:ind w:firstLine="600" w:firstLineChars="200"/>
        <w:rPr>
          <w:rFonts w:ascii="仿宋" w:hAnsi="仿宋" w:eastAsia="仿宋"/>
          <w:sz w:val="30"/>
          <w:szCs w:val="30"/>
        </w:rPr>
      </w:pPr>
      <w:r>
        <w:rPr>
          <w:rFonts w:hint="eastAsia" w:ascii="仿宋" w:hAnsi="仿宋" w:eastAsia="仿宋"/>
          <w:sz w:val="30"/>
          <w:szCs w:val="30"/>
        </w:rPr>
        <w:t>（一）贯彻执行国家、省有关房屋管理、住房保障、城市建设、村镇建设、建筑市场、房地产市场、勘察设计市场、物业行业以及建筑业、城镇燃气、城市供热招投标等方面的方针、政策、法律、法规及规章。</w:t>
      </w:r>
    </w:p>
    <w:p>
      <w:pPr>
        <w:ind w:firstLine="600" w:firstLineChars="200"/>
        <w:rPr>
          <w:rFonts w:ascii="仿宋" w:hAnsi="仿宋" w:eastAsia="仿宋"/>
          <w:sz w:val="30"/>
          <w:szCs w:val="30"/>
        </w:rPr>
      </w:pPr>
      <w:r>
        <w:rPr>
          <w:rFonts w:hint="eastAsia" w:ascii="仿宋" w:hAnsi="仿宋" w:eastAsia="仿宋"/>
          <w:sz w:val="30"/>
          <w:szCs w:val="30"/>
        </w:rPr>
        <w:t>（二）</w:t>
      </w:r>
      <w:r>
        <w:rPr>
          <w:rFonts w:hint="eastAsia" w:ascii="仿宋" w:hAnsi="仿宋" w:eastAsia="仿宋"/>
          <w:color w:val="000000" w:themeColor="text1"/>
          <w:sz w:val="30"/>
          <w:szCs w:val="30"/>
          <w14:textFill>
            <w14:solidFill>
              <w14:schemeClr w14:val="tx1"/>
            </w14:solidFill>
          </w14:textFill>
        </w:rPr>
        <w:t>贯彻执行国家、省、市有关建设工程质量安全监督的法律、法规、规章和工程建设执行标准。</w:t>
      </w:r>
      <w:r>
        <w:rPr>
          <w:rFonts w:hint="eastAsia" w:ascii="仿宋" w:hAnsi="仿宋" w:eastAsia="仿宋"/>
          <w:sz w:val="30"/>
          <w:szCs w:val="30"/>
        </w:rPr>
        <w:t>负责全区房屋建筑和市政基础设施工程质量安全、监管、施工工地扬尘治理管理、工程竣工验收备案、工程建设消防设计审查、验收、备案管理工作。组织或参与相关的建筑工程重大质量、安全事故的调查处理。</w:t>
      </w:r>
    </w:p>
    <w:p>
      <w:pPr>
        <w:ind w:firstLine="600" w:firstLineChars="200"/>
        <w:rPr>
          <w:rFonts w:ascii="仿宋" w:hAnsi="仿宋" w:eastAsia="仿宋"/>
          <w:sz w:val="30"/>
          <w:szCs w:val="30"/>
        </w:rPr>
      </w:pPr>
      <w:r>
        <w:rPr>
          <w:rFonts w:hint="eastAsia" w:ascii="仿宋" w:hAnsi="仿宋" w:eastAsia="仿宋"/>
          <w:sz w:val="30"/>
          <w:szCs w:val="30"/>
        </w:rPr>
        <w:t>（三）贯彻执行国家、省、市关于市政设施管理、市容环境卫生管理、园林绿化管理和城市行政执法方面的方针、政策和法律、法规、规章。</w:t>
      </w:r>
    </w:p>
    <w:p>
      <w:pPr>
        <w:ind w:firstLine="600" w:firstLineChars="200"/>
        <w:rPr>
          <w:rFonts w:ascii="仿宋" w:hAnsi="仿宋" w:eastAsia="仿宋"/>
          <w:sz w:val="30"/>
          <w:szCs w:val="30"/>
        </w:rPr>
      </w:pPr>
      <w:r>
        <w:rPr>
          <w:rFonts w:hint="eastAsia" w:ascii="仿宋" w:hAnsi="仿宋" w:eastAsia="仿宋"/>
          <w:sz w:val="30"/>
          <w:szCs w:val="30"/>
        </w:rPr>
        <w:t>（四）贯彻执行国家、省、市关于人民防空工作的方针、政策和法律、法规。制定并组织实施辖区内人民防空警报、通信建设规划、计划，组织协调通信保障工作。按照管理权限开展城市地下防护空间的规划、建设管理、使用管理等工作。</w:t>
      </w:r>
    </w:p>
    <w:p>
      <w:pPr>
        <w:ind w:firstLine="600" w:firstLineChars="200"/>
        <w:rPr>
          <w:rFonts w:ascii="仿宋" w:hAnsi="仿宋" w:eastAsia="仿宋"/>
          <w:sz w:val="30"/>
          <w:szCs w:val="30"/>
        </w:rPr>
      </w:pPr>
      <w:r>
        <w:rPr>
          <w:rFonts w:hint="eastAsia" w:ascii="仿宋" w:hAnsi="仿宋" w:eastAsia="仿宋"/>
          <w:sz w:val="30"/>
          <w:szCs w:val="30"/>
        </w:rPr>
        <w:t>（五）贯彻执行国家、省、市有关房地产市场监管、产业发展政策、房地产开发、房屋交易、房屋租赁、房地产估价与经纪管理、物业管理、房屋征收、公有住房管理、房屋安全等规章制度，负责全区房地产市场交易、物业行业的监督管理。</w:t>
      </w:r>
    </w:p>
    <w:p>
      <w:pPr>
        <w:ind w:firstLine="600" w:firstLineChars="200"/>
        <w:rPr>
          <w:rFonts w:ascii="仿宋" w:hAnsi="仿宋" w:eastAsia="仿宋"/>
          <w:sz w:val="30"/>
          <w:szCs w:val="30"/>
        </w:rPr>
      </w:pPr>
      <w:r>
        <w:rPr>
          <w:rFonts w:hint="eastAsia" w:ascii="仿宋" w:hAnsi="仿宋" w:eastAsia="仿宋"/>
          <w:sz w:val="30"/>
          <w:szCs w:val="30"/>
        </w:rPr>
        <w:t>（六）负责对辖区内建设工程竣工验收合格前的规划、建筑市场、房屋管理等方面的违法违规行为进行查处，行使行政执法和行政处罚权。</w:t>
      </w:r>
    </w:p>
    <w:p>
      <w:pPr>
        <w:ind w:firstLine="600" w:firstLineChars="200"/>
        <w:rPr>
          <w:rFonts w:ascii="仿宋" w:hAnsi="仿宋" w:eastAsia="仿宋"/>
          <w:sz w:val="30"/>
          <w:szCs w:val="30"/>
        </w:rPr>
      </w:pPr>
      <w:r>
        <w:rPr>
          <w:rFonts w:hint="eastAsia" w:ascii="仿宋" w:hAnsi="仿宋" w:eastAsia="仿宋"/>
          <w:sz w:val="30"/>
          <w:szCs w:val="30"/>
        </w:rPr>
        <w:t>（七）完成区党工委、管委会交办的其他任务。</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二、部门预算单位构成</w:t>
      </w:r>
    </w:p>
    <w:p>
      <w:pPr>
        <w:widowControl/>
        <w:spacing w:line="330" w:lineRule="atLeast"/>
        <w:ind w:firstLine="600" w:firstLineChars="200"/>
        <w:jc w:val="left"/>
        <w:rPr>
          <w:rFonts w:hint="eastAsia"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2年住房和城市建设管理局(城市管理行政执法局)部门预算为本部综合收支计划，无二级单位。</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第二部分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部门预算情况说明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一、总体说明</w:t>
      </w:r>
    </w:p>
    <w:p>
      <w:pPr>
        <w:widowControl/>
        <w:spacing w:line="330" w:lineRule="atLeast"/>
        <w:ind w:firstLine="600" w:firstLineChars="200"/>
        <w:jc w:val="left"/>
        <w:rPr>
          <w:rFonts w:ascii="仿宋" w:hAnsi="仿宋" w:eastAsia="仿宋"/>
          <w:sz w:val="30"/>
          <w:szCs w:val="30"/>
        </w:rPr>
      </w:pPr>
      <w:r>
        <w:rPr>
          <w:rFonts w:hint="eastAsia" w:ascii="仿宋" w:hAnsi="仿宋" w:eastAsia="仿宋" w:cs="仿宋"/>
          <w:color w:val="000000"/>
          <w:kern w:val="0"/>
          <w:sz w:val="30"/>
          <w:szCs w:val="30"/>
        </w:rPr>
        <w:t>按照综合预算的原则，本部门所有收入和支出均纳入部门预算管理，无下级预算单位。收入</w:t>
      </w:r>
      <w:r>
        <w:rPr>
          <w:rFonts w:hint="eastAsia" w:ascii="仿宋" w:hAnsi="仿宋" w:eastAsia="仿宋"/>
          <w:sz w:val="30"/>
          <w:szCs w:val="30"/>
        </w:rPr>
        <w:t>包括：财政拨款收入14136.9万元；支出包括：工资福利和对个人家庭补助支出1247万元，商品和服务支出12889.9万元</w:t>
      </w:r>
      <w:r>
        <w:rPr>
          <w:rFonts w:hint="eastAsia" w:ascii="仿宋_GB2312" w:eastAsia="仿宋_GB2312" w:cs="仿宋_GB2312"/>
          <w:sz w:val="32"/>
          <w:szCs w:val="32"/>
        </w:rPr>
        <w:t>（含专项经费12840.5万元）</w:t>
      </w:r>
      <w:bookmarkStart w:id="0" w:name="_GoBack"/>
      <w:bookmarkEnd w:id="0"/>
      <w:r>
        <w:rPr>
          <w:rFonts w:hint="eastAsia" w:ascii="仿宋" w:hAnsi="仿宋" w:eastAsia="仿宋"/>
          <w:sz w:val="30"/>
          <w:szCs w:val="30"/>
        </w:rPr>
        <w:t>。全部为一般公共预算收支，无政府性基金预算收支</w:t>
      </w:r>
      <w:r>
        <w:rPr>
          <w:rFonts w:hint="eastAsia" w:ascii="仿宋" w:hAnsi="仿宋" w:eastAsia="仿宋" w:cs="仿宋"/>
          <w:color w:val="000000"/>
          <w:kern w:val="0"/>
          <w:sz w:val="30"/>
          <w:szCs w:val="30"/>
        </w:rPr>
        <w:t>，无国有资本经营预算收支</w:t>
      </w:r>
      <w:r>
        <w:rPr>
          <w:rFonts w:hint="eastAsia" w:ascii="仿宋" w:hAnsi="仿宋" w:eastAsia="仿宋"/>
          <w:sz w:val="30"/>
          <w:szCs w:val="30"/>
        </w:rPr>
        <w:t>。比</w:t>
      </w:r>
      <w:r>
        <w:rPr>
          <w:rFonts w:ascii="仿宋" w:hAnsi="仿宋" w:eastAsia="仿宋"/>
          <w:sz w:val="30"/>
          <w:szCs w:val="30"/>
        </w:rPr>
        <w:t>20</w:t>
      </w:r>
      <w:r>
        <w:rPr>
          <w:rFonts w:hint="eastAsia" w:ascii="仿宋" w:hAnsi="仿宋" w:eastAsia="仿宋"/>
          <w:sz w:val="30"/>
          <w:szCs w:val="30"/>
        </w:rPr>
        <w:t>21年预算数增加7500.5万元，其中工资福利和对个人家庭补助支出减少299万元，商品和服务支出增加7799.5万元。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二、“三公”经费预算情况说明</w:t>
      </w:r>
    </w:p>
    <w:p>
      <w:pPr>
        <w:spacing w:line="600" w:lineRule="exact"/>
        <w:ind w:firstLine="600" w:firstLineChars="200"/>
        <w:rPr>
          <w:rFonts w:ascii="仿宋" w:hAnsi="仿宋" w:eastAsia="仿宋"/>
          <w:sz w:val="30"/>
          <w:szCs w:val="30"/>
        </w:rPr>
      </w:pPr>
      <w:r>
        <w:rPr>
          <w:rFonts w:hint="eastAsia" w:ascii="仿宋" w:hAnsi="仿宋" w:eastAsia="仿宋" w:cs="仿宋"/>
          <w:sz w:val="30"/>
          <w:szCs w:val="30"/>
        </w:rPr>
        <w:t>无“三公”经费预算</w:t>
      </w:r>
      <w:r>
        <w:rPr>
          <w:rFonts w:hint="eastAsia" w:ascii="仿宋" w:hAnsi="仿宋" w:eastAsia="仿宋" w:cs="仿宋"/>
          <w:color w:val="000000"/>
          <w:kern w:val="0"/>
          <w:sz w:val="30"/>
          <w:szCs w:val="30"/>
        </w:rPr>
        <w:t>事项，与去年相同</w:t>
      </w:r>
      <w:r>
        <w:rPr>
          <w:rFonts w:hint="eastAsia" w:ascii="仿宋" w:hAnsi="仿宋" w:eastAsia="仿宋" w:cs="仿宋"/>
          <w:sz w:val="30"/>
          <w:szCs w:val="30"/>
        </w:rPr>
        <w:t>。</w:t>
      </w:r>
      <w:r>
        <w:rPr>
          <w:rFonts w:hint="eastAsia" w:ascii="仿宋" w:hAnsi="仿宋" w:eastAsia="仿宋" w:cs="仿宋"/>
          <w:color w:val="000000"/>
          <w:kern w:val="0"/>
          <w:sz w:val="30"/>
          <w:szCs w:val="30"/>
        </w:rPr>
        <w:t>主要是按照中央及市委、市政府关于厉行节约、改进工作作风、密切联系群众“八项规定”等有关要求，严格控制“三公”经费支出。</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三、机关运行经费安排情况说明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机关运行经费包括定额公用经费14.4万元。</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四、政府采购情况说明</w:t>
      </w:r>
    </w:p>
    <w:p>
      <w:pPr>
        <w:widowControl/>
        <w:spacing w:line="330" w:lineRule="atLeast"/>
        <w:ind w:firstLine="600" w:firstLineChars="200"/>
        <w:jc w:val="left"/>
        <w:rPr>
          <w:rFonts w:ascii="仿宋" w:hAnsi="仿宋" w:eastAsia="仿宋"/>
          <w:color w:val="000000"/>
          <w:sz w:val="30"/>
          <w:szCs w:val="30"/>
        </w:rPr>
      </w:pPr>
      <w:r>
        <w:rPr>
          <w:rFonts w:hint="eastAsia" w:ascii="仿宋" w:hAnsi="仿宋" w:eastAsia="仿宋" w:cs="仿宋"/>
          <w:color w:val="000000"/>
          <w:kern w:val="0"/>
          <w:sz w:val="30"/>
          <w:szCs w:val="30"/>
        </w:rPr>
        <w:t>无政府采购事项。</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五、政府性基金收支预算情况</w:t>
      </w: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无政府性基金预算收支。</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六、国有资产占有使用情况说明</w:t>
      </w:r>
    </w:p>
    <w:p>
      <w:pPr>
        <w:spacing w:line="330" w:lineRule="atLeast"/>
        <w:ind w:firstLine="600" w:firstLineChars="200"/>
        <w:rPr>
          <w:rFonts w:ascii="仿宋" w:hAnsi="仿宋" w:eastAsia="仿宋" w:cs="仿宋"/>
          <w:kern w:val="0"/>
          <w:sz w:val="30"/>
          <w:szCs w:val="30"/>
        </w:rPr>
      </w:pPr>
      <w:r>
        <w:rPr>
          <w:rFonts w:hint="eastAsia" w:ascii="仿宋" w:hAnsi="仿宋" w:eastAsia="仿宋" w:cs="仿宋"/>
          <w:kern w:val="0"/>
          <w:sz w:val="30"/>
          <w:szCs w:val="30"/>
        </w:rPr>
        <w:t>国有资产占有使用情况说明为：截至2021年12月31日，部门（单位）共有车辆156辆；单位价值50万元（含）以上通用设备36台（套）；单位价值100万元以上专用设备6台（套）。</w:t>
      </w:r>
    </w:p>
    <w:p>
      <w:pPr>
        <w:widowControl/>
        <w:spacing w:line="330" w:lineRule="atLeast"/>
        <w:ind w:firstLine="600" w:firstLineChars="200"/>
        <w:jc w:val="left"/>
        <w:rPr>
          <w:rFonts w:ascii="仿宋" w:hAnsi="仿宋" w:eastAsia="仿宋" w:cs="仿宋"/>
          <w:kern w:val="0"/>
          <w:sz w:val="30"/>
          <w:szCs w:val="30"/>
        </w:rPr>
      </w:pPr>
      <w:r>
        <w:rPr>
          <w:rFonts w:hint="eastAsia" w:ascii="仿宋" w:hAnsi="仿宋" w:eastAsia="仿宋" w:cs="仿宋"/>
          <w:kern w:val="0"/>
          <w:sz w:val="30"/>
          <w:szCs w:val="30"/>
        </w:rPr>
        <w:t>七、预算绩效管理情况</w:t>
      </w:r>
    </w:p>
    <w:p>
      <w:pPr>
        <w:ind w:firstLine="600" w:firstLineChars="200"/>
        <w:rPr>
          <w:rFonts w:ascii="仿宋" w:hAnsi="仿宋" w:eastAsia="仿宋" w:cs="仿宋"/>
          <w:kern w:val="0"/>
          <w:sz w:val="30"/>
          <w:szCs w:val="30"/>
        </w:rPr>
      </w:pPr>
      <w:r>
        <w:rPr>
          <w:rFonts w:ascii="仿宋" w:hAnsi="仿宋" w:eastAsia="仿宋" w:cs="Verdana"/>
          <w:kern w:val="0"/>
          <w:sz w:val="30"/>
          <w:szCs w:val="30"/>
        </w:rPr>
        <w:t>20</w:t>
      </w:r>
      <w:r>
        <w:rPr>
          <w:rFonts w:hint="eastAsia" w:ascii="仿宋" w:hAnsi="仿宋" w:eastAsia="仿宋" w:cs="Verdana"/>
          <w:kern w:val="0"/>
          <w:sz w:val="30"/>
          <w:szCs w:val="30"/>
        </w:rPr>
        <w:t>22年，按照“先有绩效，后有预算”原则，本部门共计编制绩效目标20个，预算金额12840.54万元，占项目支出预算比重</w:t>
      </w:r>
      <w:r>
        <w:rPr>
          <w:rFonts w:ascii="仿宋" w:hAnsi="仿宋" w:eastAsia="仿宋" w:cs="Verdana"/>
          <w:kern w:val="0"/>
          <w:sz w:val="30"/>
          <w:szCs w:val="30"/>
        </w:rPr>
        <w:t>100%</w:t>
      </w:r>
      <w:r>
        <w:rPr>
          <w:rFonts w:hint="eastAsia" w:ascii="仿宋" w:hAnsi="仿宋" w:eastAsia="仿宋" w:cs="Verdana"/>
          <w:kern w:val="0"/>
          <w:sz w:val="30"/>
          <w:szCs w:val="30"/>
        </w:rPr>
        <w:t>。</w:t>
      </w:r>
    </w:p>
    <w:p>
      <w:pPr>
        <w:ind w:firstLine="450" w:firstLineChars="150"/>
        <w:rPr>
          <w:rFonts w:ascii="仿宋" w:hAnsi="仿宋" w:eastAsia="仿宋"/>
          <w:sz w:val="30"/>
          <w:szCs w:val="30"/>
        </w:rPr>
      </w:pPr>
      <w:r>
        <w:rPr>
          <w:rFonts w:hint="eastAsia" w:ascii="仿宋" w:hAnsi="仿宋" w:eastAsia="仿宋"/>
          <w:sz w:val="30"/>
          <w:szCs w:val="30"/>
        </w:rPr>
        <w:t xml:space="preserve">  八、2022年</w:t>
      </w:r>
      <w:r>
        <w:rPr>
          <w:rFonts w:hint="eastAsia" w:ascii="仿宋" w:hAnsi="仿宋" w:eastAsia="仿宋" w:cs="宋体"/>
          <w:color w:val="000000"/>
          <w:kern w:val="0"/>
          <w:sz w:val="30"/>
          <w:szCs w:val="30"/>
        </w:rPr>
        <w:t>人才住房补贴专项资金项目</w:t>
      </w:r>
      <w:r>
        <w:rPr>
          <w:rFonts w:hint="eastAsia" w:ascii="仿宋" w:hAnsi="仿宋" w:eastAsia="仿宋"/>
          <w:sz w:val="30"/>
          <w:szCs w:val="30"/>
        </w:rPr>
        <w:t>情况</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1.项目概述</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2022年人才住房补贴专项资金是住建局履行部门职能，依据“5+22”人才政策，预计支付新就业或自主创业高校毕业生人才住房补贴，该款项由区财政垫付，第二年市财政返还75%。年度目标是保证住房补贴发放工作正常有序开展。</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2.立项依据</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依据住建局房屋管理科科工作职责及“5+22”人才政策等相关文件。</w:t>
      </w:r>
    </w:p>
    <w:p>
      <w:pPr>
        <w:ind w:firstLine="600" w:firstLineChars="200"/>
        <w:outlineLvl w:val="0"/>
        <w:rPr>
          <w:rFonts w:ascii="仿宋" w:hAnsi="仿宋" w:eastAsia="仿宋" w:cs="仿宋"/>
          <w:color w:val="000000"/>
          <w:kern w:val="0"/>
          <w:sz w:val="30"/>
          <w:szCs w:val="30"/>
        </w:rPr>
      </w:pPr>
      <w:r>
        <w:rPr>
          <w:rFonts w:hint="eastAsia" w:ascii="仿宋" w:hAnsi="仿宋" w:eastAsia="仿宋" w:cs="仿宋"/>
          <w:color w:val="000000"/>
          <w:kern w:val="0"/>
          <w:sz w:val="30"/>
          <w:szCs w:val="30"/>
        </w:rPr>
        <w:t>3.实施主体</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项目具体组织实施的部门为高新区住建局房屋管理科。</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4.实施方案</w:t>
      </w:r>
    </w:p>
    <w:p>
      <w:pPr>
        <w:ind w:firstLine="738" w:firstLineChars="246"/>
        <w:rPr>
          <w:rFonts w:ascii="仿宋" w:hAnsi="仿宋" w:eastAsia="仿宋" w:cs="仿宋"/>
          <w:color w:val="000000"/>
          <w:kern w:val="0"/>
          <w:sz w:val="30"/>
          <w:szCs w:val="30"/>
        </w:rPr>
      </w:pPr>
      <w:r>
        <w:rPr>
          <w:rFonts w:hint="eastAsia" w:ascii="仿宋" w:hAnsi="仿宋" w:eastAsia="仿宋" w:cs="仿宋"/>
          <w:color w:val="000000"/>
          <w:kern w:val="0"/>
          <w:sz w:val="30"/>
          <w:szCs w:val="30"/>
        </w:rPr>
        <w:t>①.制定工作安排</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年初制定详细的工作计划，按时间节点稳步推进，确保年度工作有条不紊地开展。</w:t>
      </w:r>
    </w:p>
    <w:p>
      <w:pPr>
        <w:ind w:left="160" w:firstLine="450" w:firstLineChars="150"/>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②.组织项目实施</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按照制定的工作计划，推动各项工作开展。新就业或自主创业高校毕业生申请住房补贴程序：</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（1）本人或用人单位向区党群工作部提出申请，经审查申请人的学历、劳动合同、社会保险等资料后将最终合格名单转区住建局。</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（2）住建局将名单交住房保障中心进行住房查验，查验合格后向区财政申请补贴资金进行发放。</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5.实施周期</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项目起止时间为2022年1月1日到2022年12月31日。</w:t>
      </w:r>
    </w:p>
    <w:p>
      <w:pPr>
        <w:ind w:firstLine="600" w:firstLineChars="200"/>
        <w:rPr>
          <w:rFonts w:ascii="仿宋" w:hAnsi="仿宋" w:eastAsia="仿宋" w:cs="仿宋"/>
          <w:color w:val="000000"/>
          <w:kern w:val="0"/>
          <w:sz w:val="30"/>
          <w:szCs w:val="30"/>
        </w:rPr>
      </w:pPr>
      <w:r>
        <w:rPr>
          <w:rFonts w:hint="eastAsia" w:ascii="仿宋" w:hAnsi="仿宋" w:eastAsia="仿宋" w:cs="仿宋"/>
          <w:color w:val="000000"/>
          <w:kern w:val="0"/>
          <w:sz w:val="30"/>
          <w:szCs w:val="30"/>
        </w:rPr>
        <w:t>6.年度预算安排</w:t>
      </w:r>
    </w:p>
    <w:p>
      <w:pPr>
        <w:ind w:firstLine="600" w:firstLineChars="200"/>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rPr>
        <w:t>2022年拟安排该项目支出</w:t>
      </w:r>
      <w:r>
        <w:rPr>
          <w:rFonts w:hint="eastAsia" w:ascii="仿宋" w:hAnsi="仿宋" w:eastAsia="仿宋" w:cs="Verdana"/>
          <w:kern w:val="0"/>
          <w:sz w:val="30"/>
          <w:szCs w:val="30"/>
        </w:rPr>
        <w:t>10400</w:t>
      </w:r>
      <w:r>
        <w:rPr>
          <w:rFonts w:hint="eastAsia" w:ascii="仿宋" w:hAnsi="仿宋" w:eastAsia="仿宋" w:cs="仿宋"/>
          <w:color w:val="000000"/>
          <w:kern w:val="0"/>
          <w:sz w:val="30"/>
          <w:szCs w:val="30"/>
        </w:rPr>
        <w:t>万元。</w:t>
      </w:r>
    </w:p>
    <w:p>
      <w:pPr>
        <w:ind w:firstLine="600" w:firstLineChars="200"/>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第三部分</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名词解释</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w:t>
      </w:r>
      <w:r>
        <w:rPr>
          <w:rFonts w:hint="eastAsia" w:ascii="仿宋" w:hAnsi="仿宋" w:eastAsia="仿宋" w:cs="仿宋"/>
          <w:color w:val="000000"/>
          <w:kern w:val="0"/>
          <w:sz w:val="30"/>
          <w:szCs w:val="30"/>
        </w:rPr>
        <w:t>财政拨款收入：指市财政当年拨付的资金。</w:t>
      </w: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2.</w:t>
      </w:r>
      <w:r>
        <w:rPr>
          <w:rFonts w:hint="eastAsia" w:ascii="仿宋" w:hAnsi="仿宋" w:eastAsia="仿宋" w:cs="仿宋"/>
          <w:color w:val="000000"/>
          <w:kern w:val="0"/>
          <w:sz w:val="30"/>
          <w:szCs w:val="30"/>
        </w:rPr>
        <w:t>其他收入：指除“财政拨款收入”、“财政专户拨款收入”等以外的收入，包括事业单位经营性收入、上级补助收入、附属单位上缴收入等。</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3.</w:t>
      </w:r>
      <w:r>
        <w:rPr>
          <w:rFonts w:hint="eastAsia" w:ascii="仿宋" w:hAnsi="仿宋" w:eastAsia="仿宋" w:cs="仿宋"/>
          <w:color w:val="000000"/>
          <w:kern w:val="0"/>
          <w:sz w:val="30"/>
          <w:szCs w:val="30"/>
        </w:rPr>
        <w:t>基本支出：指为保障机构正常运转、完成日常工作任务而发生的人员支出和公用支出。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4.</w:t>
      </w:r>
      <w:r>
        <w:rPr>
          <w:rFonts w:hint="eastAsia" w:ascii="仿宋" w:hAnsi="仿宋" w:eastAsia="仿宋" w:cs="仿宋"/>
          <w:color w:val="000000"/>
          <w:kern w:val="0"/>
          <w:sz w:val="30"/>
          <w:szCs w:val="30"/>
        </w:rPr>
        <w:t>项目支出：指在基本支出之外为完成特定行政任务和事业发展目标所发生的支出。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5.</w:t>
      </w:r>
      <w:r>
        <w:rPr>
          <w:rFonts w:hint="eastAsia" w:ascii="仿宋" w:hAnsi="仿宋" w:eastAsia="仿宋" w:cs="仿宋"/>
          <w:color w:val="000000"/>
          <w:kern w:val="0"/>
          <w:sz w:val="30"/>
          <w:szCs w:val="30"/>
        </w:rPr>
        <w:t>“三公”经费：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6.</w:t>
      </w:r>
      <w:r>
        <w:rPr>
          <w:rFonts w:hint="eastAsia" w:ascii="仿宋" w:hAnsi="仿宋" w:eastAsia="仿宋" w:cs="仿宋"/>
          <w:color w:val="000000"/>
          <w:kern w:val="0"/>
          <w:sz w:val="30"/>
          <w:szCs w:val="30"/>
        </w:rPr>
        <w:t>一般公共服务（类）财政事务（款）行政运行（项）：反映行政单位（包括实行公务员管理的事业单位）的基本支出。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7.</w:t>
      </w:r>
      <w:r>
        <w:rPr>
          <w:rFonts w:hint="eastAsia" w:ascii="仿宋" w:hAnsi="仿宋" w:eastAsia="仿宋" w:cs="仿宋"/>
          <w:color w:val="000000"/>
          <w:kern w:val="0"/>
          <w:sz w:val="30"/>
          <w:szCs w:val="30"/>
        </w:rPr>
        <w:t>一般公共服务（类）财政事务（款）一般行政管理事务（项）：反映行政单位（包括实行公务员管理的事业单位）未单独设置项级科目的其他项目支出。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8</w:t>
      </w:r>
      <w:r>
        <w:rPr>
          <w:rFonts w:hint="eastAsia" w:ascii="仿宋" w:hAnsi="仿宋" w:eastAsia="仿宋" w:cs="仿宋"/>
          <w:color w:val="000000"/>
          <w:kern w:val="0"/>
          <w:sz w:val="30"/>
          <w:szCs w:val="30"/>
        </w:rPr>
        <w:t>一般公共服务（类）财政事务（款）信息化建设（项）：反映财政部门用于“金财工程”等信息化建设方面的支出。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9.</w:t>
      </w:r>
      <w:r>
        <w:rPr>
          <w:rFonts w:hint="eastAsia" w:ascii="仿宋" w:hAnsi="仿宋" w:eastAsia="仿宋" w:cs="仿宋"/>
          <w:color w:val="000000"/>
          <w:kern w:val="0"/>
          <w:sz w:val="30"/>
          <w:szCs w:val="30"/>
        </w:rPr>
        <w:t>一般公共服务（类）财政事务（款）财政委托业务支出（项）：反映财政委托评审机构进行财政投资评审和委托建设银行等机构代理业务发生的支出。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10. </w:t>
      </w:r>
      <w:r>
        <w:rPr>
          <w:rFonts w:hint="eastAsia" w:ascii="仿宋" w:hAnsi="仿宋" w:eastAsia="仿宋" w:cs="仿宋"/>
          <w:color w:val="000000"/>
          <w:kern w:val="0"/>
          <w:sz w:val="30"/>
          <w:szCs w:val="30"/>
        </w:rPr>
        <w:t>一般公共服务（类）财政事务（款）事业运行（项）：反映事业单位的基本支出，不包括行政单位（包括实行公务员管理的事业单位）后勤服务中心、医务室等附属事业单位。</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11. </w:t>
      </w:r>
      <w:r>
        <w:rPr>
          <w:rFonts w:hint="eastAsia" w:ascii="仿宋" w:hAnsi="仿宋" w:eastAsia="仿宋" w:cs="仿宋"/>
          <w:color w:val="000000"/>
          <w:kern w:val="0"/>
          <w:sz w:val="30"/>
          <w:szCs w:val="30"/>
        </w:rPr>
        <w:t>一般公共服务（类）财政事务（款）其他财政事务支出（项）：反映其他财政事务方面的支出。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12</w:t>
      </w:r>
      <w:r>
        <w:rPr>
          <w:rFonts w:hint="eastAsia" w:ascii="仿宋" w:hAnsi="仿宋" w:eastAsia="仿宋" w:cs="仿宋"/>
          <w:color w:val="000000"/>
          <w:kern w:val="0"/>
          <w:sz w:val="30"/>
          <w:szCs w:val="30"/>
        </w:rPr>
        <w:t>．教育支出（类）其他教育支出（款）其他教育支出（项）：反映其他用于教育方面的支出。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13. </w:t>
      </w:r>
      <w:r>
        <w:rPr>
          <w:rFonts w:hint="eastAsia" w:ascii="仿宋" w:hAnsi="仿宋" w:eastAsia="仿宋" w:cs="仿宋"/>
          <w:color w:val="000000"/>
          <w:kern w:val="0"/>
          <w:sz w:val="30"/>
          <w:szCs w:val="30"/>
        </w:rPr>
        <w:t>社会保障和就业（类）行政事业单位离退休（款）归口管理的行政单位离退休（项）：反映实行归口管理的行政单位（包括实行公务员管理的事业单位）开支的离退休经费。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14. </w:t>
      </w:r>
      <w:r>
        <w:rPr>
          <w:rFonts w:hint="eastAsia" w:ascii="仿宋" w:hAnsi="仿宋" w:eastAsia="仿宋" w:cs="仿宋"/>
          <w:color w:val="000000"/>
          <w:kern w:val="0"/>
          <w:sz w:val="30"/>
          <w:szCs w:val="30"/>
        </w:rPr>
        <w:t>社会保障和就业（类）行政事业单位离退休（款）机关事业单位基本养老保险缴费支出（项）：反映机关事业单位实施养老保险制度由单位缴纳的基本养老保险费支出。</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15.</w:t>
      </w:r>
      <w:r>
        <w:rPr>
          <w:rFonts w:hint="eastAsia" w:ascii="仿宋" w:hAnsi="仿宋" w:eastAsia="仿宋" w:cs="仿宋"/>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16.</w:t>
      </w:r>
      <w:r>
        <w:rPr>
          <w:rFonts w:hint="eastAsia" w:ascii="仿宋" w:hAnsi="仿宋" w:eastAsia="仿宋" w:cs="仿宋"/>
          <w:color w:val="000000"/>
          <w:kern w:val="0"/>
          <w:sz w:val="30"/>
          <w:szCs w:val="30"/>
        </w:rPr>
        <w:t>医疗卫生与计划生育（类）医疗保障（款）事业单位医疗（项）：反映财政部门集中安排的事业单位基本医疗保险缴费经费，未参加医疗保险的事业单位的公费医疗经费，按国家规定享受离休人员待遇人员的医疗经费。</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17.</w:t>
      </w:r>
      <w:r>
        <w:rPr>
          <w:rFonts w:hint="eastAsia" w:ascii="仿宋" w:hAnsi="仿宋" w:eastAsia="仿宋" w:cs="仿宋"/>
          <w:color w:val="000000"/>
          <w:kern w:val="0"/>
          <w:sz w:val="30"/>
          <w:szCs w:val="30"/>
        </w:rPr>
        <w:t>住房保障（类）住房改革（款）住房公积金（项）：反映行政事业单位按人力资源和社会保障部、财政部规定的基本工资和津贴补贴以及规定比例为职工缴纳的住房公积金。</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18.</w:t>
      </w:r>
      <w:r>
        <w:rPr>
          <w:rFonts w:hint="eastAsia" w:ascii="仿宋" w:hAnsi="仿宋" w:eastAsia="仿宋" w:cs="仿宋"/>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pPr>
        <w:widowControl/>
        <w:spacing w:line="330" w:lineRule="atLeast"/>
        <w:ind w:firstLine="600" w:firstLineChars="200"/>
        <w:jc w:val="left"/>
        <w:rPr>
          <w:rFonts w:ascii="仿宋" w:hAnsi="仿宋" w:eastAsia="仿宋" w:cs="仿宋"/>
          <w:color w:val="000000"/>
          <w:kern w:val="0"/>
          <w:sz w:val="30"/>
          <w:szCs w:val="30"/>
        </w:rPr>
      </w:pPr>
      <w:r>
        <w:rPr>
          <w:rFonts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4800" w:firstLineChars="1600"/>
        <w:jc w:val="left"/>
        <w:rPr>
          <w:rFonts w:ascii="仿宋" w:hAnsi="仿宋" w:eastAsia="仿宋" w:cs="仿宋"/>
          <w:color w:val="000000"/>
          <w:kern w:val="0"/>
          <w:sz w:val="30"/>
          <w:szCs w:val="30"/>
        </w:rPr>
      </w:pPr>
      <w:r>
        <w:rPr>
          <w:rFonts w:ascii="仿宋" w:hAnsi="仿宋" w:eastAsia="仿宋" w:cs="仿宋"/>
          <w:color w:val="000000"/>
          <w:kern w:val="0"/>
          <w:sz w:val="30"/>
          <w:szCs w:val="30"/>
        </w:rPr>
        <w:t>202</w:t>
      </w:r>
      <w:r>
        <w:rPr>
          <w:rFonts w:hint="eastAsia" w:ascii="仿宋" w:hAnsi="仿宋" w:eastAsia="仿宋" w:cs="仿宋"/>
          <w:color w:val="000000"/>
          <w:kern w:val="0"/>
          <w:sz w:val="30"/>
          <w:szCs w:val="30"/>
        </w:rPr>
        <w:t>2年2月17日</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w:t>
      </w: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600" w:firstLineChars="200"/>
        <w:jc w:val="left"/>
        <w:rPr>
          <w:rFonts w:ascii="仿宋" w:hAnsi="仿宋" w:eastAsia="仿宋" w:cs="仿宋"/>
          <w:color w:val="000000"/>
          <w:kern w:val="0"/>
          <w:sz w:val="30"/>
          <w:szCs w:val="30"/>
        </w:rPr>
      </w:pPr>
    </w:p>
    <w:p>
      <w:pPr>
        <w:widowControl/>
        <w:spacing w:line="330" w:lineRule="atLeast"/>
        <w:ind w:firstLine="3900" w:firstLineChars="1300"/>
        <w:jc w:val="left"/>
        <w:rPr>
          <w:rFonts w:ascii="仿宋" w:hAnsi="仿宋" w:eastAsia="仿宋" w:cs="仿宋"/>
          <w:color w:val="000000"/>
          <w:kern w:val="0"/>
          <w:sz w:val="30"/>
          <w:szCs w:val="30"/>
        </w:rPr>
      </w:pPr>
      <w:r>
        <w:rPr>
          <w:rFonts w:hint="eastAsia" w:ascii="仿宋" w:hAnsi="仿宋" w:eastAsia="仿宋" w:cs="仿宋"/>
          <w:color w:val="000000"/>
          <w:kern w:val="0"/>
          <w:sz w:val="30"/>
          <w:szCs w:val="30"/>
        </w:rPr>
        <w:t xml:space="preserve"> </w:t>
      </w:r>
    </w:p>
    <w:sectPr>
      <w:pgSz w:w="11906" w:h="16838"/>
      <w:pgMar w:top="1531" w:right="1797"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0194"/>
    <w:rsid w:val="00010252"/>
    <w:rsid w:val="00010896"/>
    <w:rsid w:val="00012A66"/>
    <w:rsid w:val="000130C2"/>
    <w:rsid w:val="000A55C1"/>
    <w:rsid w:val="000B6C6E"/>
    <w:rsid w:val="000C1D01"/>
    <w:rsid w:val="000E2C74"/>
    <w:rsid w:val="00101BE5"/>
    <w:rsid w:val="00104AD4"/>
    <w:rsid w:val="0010550E"/>
    <w:rsid w:val="00163E2A"/>
    <w:rsid w:val="00164A2E"/>
    <w:rsid w:val="00165857"/>
    <w:rsid w:val="00187190"/>
    <w:rsid w:val="001961A4"/>
    <w:rsid w:val="001A48E1"/>
    <w:rsid w:val="001E3E93"/>
    <w:rsid w:val="00200D7F"/>
    <w:rsid w:val="00226F3C"/>
    <w:rsid w:val="00231FF1"/>
    <w:rsid w:val="0023451D"/>
    <w:rsid w:val="00264775"/>
    <w:rsid w:val="00265F8B"/>
    <w:rsid w:val="00277391"/>
    <w:rsid w:val="003003AA"/>
    <w:rsid w:val="0033427F"/>
    <w:rsid w:val="00342DA2"/>
    <w:rsid w:val="00362AB5"/>
    <w:rsid w:val="003B02B5"/>
    <w:rsid w:val="003B50ED"/>
    <w:rsid w:val="003C65CD"/>
    <w:rsid w:val="003E61DA"/>
    <w:rsid w:val="003F1444"/>
    <w:rsid w:val="003F2AA1"/>
    <w:rsid w:val="003F4DFF"/>
    <w:rsid w:val="004221E9"/>
    <w:rsid w:val="004569A1"/>
    <w:rsid w:val="004616FF"/>
    <w:rsid w:val="00482E6B"/>
    <w:rsid w:val="004978FE"/>
    <w:rsid w:val="004B288C"/>
    <w:rsid w:val="004B3D92"/>
    <w:rsid w:val="004C77BF"/>
    <w:rsid w:val="004F6B3D"/>
    <w:rsid w:val="005234A2"/>
    <w:rsid w:val="00534B4F"/>
    <w:rsid w:val="005431AD"/>
    <w:rsid w:val="00590555"/>
    <w:rsid w:val="00594FB5"/>
    <w:rsid w:val="005A04CC"/>
    <w:rsid w:val="005A107C"/>
    <w:rsid w:val="005C5CA0"/>
    <w:rsid w:val="005F4DCC"/>
    <w:rsid w:val="006004E3"/>
    <w:rsid w:val="00606850"/>
    <w:rsid w:val="00614500"/>
    <w:rsid w:val="00641DCA"/>
    <w:rsid w:val="006541E5"/>
    <w:rsid w:val="00656223"/>
    <w:rsid w:val="006B0A43"/>
    <w:rsid w:val="006B44AB"/>
    <w:rsid w:val="007157BC"/>
    <w:rsid w:val="00753345"/>
    <w:rsid w:val="00753F26"/>
    <w:rsid w:val="00755C7B"/>
    <w:rsid w:val="00760A66"/>
    <w:rsid w:val="00762EF8"/>
    <w:rsid w:val="00774A32"/>
    <w:rsid w:val="007805EB"/>
    <w:rsid w:val="00793572"/>
    <w:rsid w:val="007B12D0"/>
    <w:rsid w:val="007B2426"/>
    <w:rsid w:val="007C5E3C"/>
    <w:rsid w:val="007F23D9"/>
    <w:rsid w:val="008207A6"/>
    <w:rsid w:val="00826E6F"/>
    <w:rsid w:val="008371E4"/>
    <w:rsid w:val="00841C21"/>
    <w:rsid w:val="0085119F"/>
    <w:rsid w:val="008620BC"/>
    <w:rsid w:val="008641D1"/>
    <w:rsid w:val="00885DF3"/>
    <w:rsid w:val="008B01B8"/>
    <w:rsid w:val="008C4F26"/>
    <w:rsid w:val="0091225B"/>
    <w:rsid w:val="009244A6"/>
    <w:rsid w:val="009310B6"/>
    <w:rsid w:val="00941B10"/>
    <w:rsid w:val="00961681"/>
    <w:rsid w:val="009652AA"/>
    <w:rsid w:val="00976485"/>
    <w:rsid w:val="00983A47"/>
    <w:rsid w:val="009848F0"/>
    <w:rsid w:val="009F1015"/>
    <w:rsid w:val="009F229D"/>
    <w:rsid w:val="00A12126"/>
    <w:rsid w:val="00A12672"/>
    <w:rsid w:val="00A12FA3"/>
    <w:rsid w:val="00A13D07"/>
    <w:rsid w:val="00A150E4"/>
    <w:rsid w:val="00A26A44"/>
    <w:rsid w:val="00A377FD"/>
    <w:rsid w:val="00A5549A"/>
    <w:rsid w:val="00A70656"/>
    <w:rsid w:val="00A7639E"/>
    <w:rsid w:val="00A924A6"/>
    <w:rsid w:val="00AE3579"/>
    <w:rsid w:val="00AF66FD"/>
    <w:rsid w:val="00B12041"/>
    <w:rsid w:val="00B217F1"/>
    <w:rsid w:val="00B26EB1"/>
    <w:rsid w:val="00B271FC"/>
    <w:rsid w:val="00B40E6C"/>
    <w:rsid w:val="00B5641E"/>
    <w:rsid w:val="00B568D3"/>
    <w:rsid w:val="00BA3094"/>
    <w:rsid w:val="00BB6069"/>
    <w:rsid w:val="00BF58A0"/>
    <w:rsid w:val="00C052C0"/>
    <w:rsid w:val="00C361B2"/>
    <w:rsid w:val="00C67479"/>
    <w:rsid w:val="00CB0285"/>
    <w:rsid w:val="00CB43BE"/>
    <w:rsid w:val="00CD7BAB"/>
    <w:rsid w:val="00CF43DA"/>
    <w:rsid w:val="00D10236"/>
    <w:rsid w:val="00D176CA"/>
    <w:rsid w:val="00D3306F"/>
    <w:rsid w:val="00D400F0"/>
    <w:rsid w:val="00D43853"/>
    <w:rsid w:val="00D614E1"/>
    <w:rsid w:val="00D82E50"/>
    <w:rsid w:val="00DA0D67"/>
    <w:rsid w:val="00DB254A"/>
    <w:rsid w:val="00DC1136"/>
    <w:rsid w:val="00DD605A"/>
    <w:rsid w:val="00DD67CE"/>
    <w:rsid w:val="00DE571F"/>
    <w:rsid w:val="00DF2079"/>
    <w:rsid w:val="00E04FE5"/>
    <w:rsid w:val="00E160F9"/>
    <w:rsid w:val="00E21EBF"/>
    <w:rsid w:val="00E333E8"/>
    <w:rsid w:val="00E679E1"/>
    <w:rsid w:val="00E72DA4"/>
    <w:rsid w:val="00E804EF"/>
    <w:rsid w:val="00E90F07"/>
    <w:rsid w:val="00EA15E7"/>
    <w:rsid w:val="00EB3F7F"/>
    <w:rsid w:val="00EB6E55"/>
    <w:rsid w:val="00EE134B"/>
    <w:rsid w:val="00F00CDD"/>
    <w:rsid w:val="00F01060"/>
    <w:rsid w:val="00F251AC"/>
    <w:rsid w:val="00F448E9"/>
    <w:rsid w:val="00F673BF"/>
    <w:rsid w:val="00F713C4"/>
    <w:rsid w:val="00F761D5"/>
    <w:rsid w:val="00F76F83"/>
    <w:rsid w:val="00F94B86"/>
    <w:rsid w:val="00FB16F8"/>
    <w:rsid w:val="00FB3F0C"/>
    <w:rsid w:val="00FC5228"/>
    <w:rsid w:val="00FD042E"/>
    <w:rsid w:val="00FD7251"/>
    <w:rsid w:val="03CB2348"/>
    <w:rsid w:val="1B31275A"/>
    <w:rsid w:val="20E576AF"/>
    <w:rsid w:val="26E37471"/>
    <w:rsid w:val="3A256A8C"/>
    <w:rsid w:val="3DB93B24"/>
    <w:rsid w:val="46594E34"/>
    <w:rsid w:val="4EEF68C6"/>
    <w:rsid w:val="618F2052"/>
    <w:rsid w:val="6473152C"/>
    <w:rsid w:val="6E85181E"/>
    <w:rsid w:val="704717AB"/>
    <w:rsid w:val="71F013CB"/>
    <w:rsid w:val="77C42D0F"/>
    <w:rsid w:val="7D0F1F5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ascii="Times New Roman" w:hAnsi="Times New Roman" w:eastAsia="宋体" w:cs="Times New Roman"/>
      <w:sz w:val="18"/>
      <w:szCs w:val="18"/>
    </w:rPr>
  </w:style>
  <w:style w:type="character" w:customStyle="1" w:styleId="7">
    <w:name w:val="页脚 Char"/>
    <w:basedOn w:val="5"/>
    <w:link w:val="2"/>
    <w:semiHidden/>
    <w:qFormat/>
    <w:locked/>
    <w:uiPriority w:val="99"/>
    <w:rPr>
      <w:rFonts w:ascii="Times New Roman" w:hAnsi="Times New Roman" w:eastAsia="宋体" w:cs="Times New Roman"/>
      <w:sz w:val="18"/>
      <w:szCs w:val="18"/>
    </w:rPr>
  </w:style>
  <w:style w:type="paragraph" w:styleId="8">
    <w:name w:val="List Paragraph"/>
    <w:basedOn w:val="1"/>
    <w:qFormat/>
    <w:uiPriority w:val="34"/>
    <w:pPr>
      <w:ind w:left="1570"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8</Pages>
  <Words>2887</Words>
  <Characters>3015</Characters>
  <Lines>24</Lines>
  <Paragraphs>6</Paragraphs>
  <TotalTime>0</TotalTime>
  <ScaleCrop>false</ScaleCrop>
  <LinksUpToDate>false</LinksUpToDate>
  <CharactersWithSpaces>3314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2018-04-27T03:07:00Z</dcterms:created>
  <dc:creator>Custmor</dc:creator>
  <cp:lastModifiedBy>admin</cp:lastModifiedBy>
  <cp:lastPrinted>2022-03-21T08:19:00Z</cp:lastPrinted>
  <dcterms:modified xsi:type="dcterms:W3CDTF">2022-04-15T07:55:14Z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296F5CDFD081488CAB854DAA20920774</vt:lpwstr>
  </property>
</Properties>
</file>