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25" w:rsidRDefault="00A470B7">
      <w:pPr>
        <w:spacing w:line="360" w:lineRule="auto"/>
        <w:jc w:val="center"/>
        <w:rPr>
          <w:rFonts w:ascii="Times New Roman" w:eastAsia="宋体" w:hAnsi="Times New Roman" w:cs="宋体"/>
          <w:b/>
          <w:sz w:val="44"/>
          <w:szCs w:val="44"/>
        </w:rPr>
      </w:pPr>
      <w:r>
        <w:rPr>
          <w:rFonts w:ascii="Times New Roman" w:eastAsia="宋体" w:hAnsi="Times New Roman" w:cs="宋体" w:hint="eastAsia"/>
          <w:b/>
          <w:sz w:val="44"/>
          <w:szCs w:val="44"/>
        </w:rPr>
        <w:t>高新区</w:t>
      </w:r>
      <w:r>
        <w:rPr>
          <w:rFonts w:ascii="Times New Roman" w:eastAsia="宋体" w:hAnsi="Times New Roman" w:cs="宋体" w:hint="eastAsia"/>
          <w:b/>
          <w:sz w:val="44"/>
          <w:szCs w:val="44"/>
        </w:rPr>
        <w:t>2023</w:t>
      </w:r>
      <w:r>
        <w:rPr>
          <w:rFonts w:ascii="Times New Roman" w:eastAsia="宋体" w:hAnsi="Times New Roman" w:cs="宋体" w:hint="eastAsia"/>
          <w:b/>
          <w:sz w:val="44"/>
          <w:szCs w:val="44"/>
        </w:rPr>
        <w:t>年度第</w:t>
      </w:r>
      <w:r>
        <w:rPr>
          <w:rFonts w:ascii="Times New Roman" w:eastAsia="宋体" w:hAnsi="Times New Roman" w:cs="宋体" w:hint="eastAsia"/>
          <w:b/>
          <w:sz w:val="44"/>
          <w:szCs w:val="44"/>
        </w:rPr>
        <w:t>03</w:t>
      </w:r>
      <w:r>
        <w:rPr>
          <w:rFonts w:ascii="Times New Roman" w:eastAsia="宋体" w:hAnsi="Times New Roman" w:cs="宋体" w:hint="eastAsia"/>
          <w:b/>
          <w:sz w:val="44"/>
          <w:szCs w:val="44"/>
        </w:rPr>
        <w:t>批次土地征收成片开发方案（征求意见稿）</w:t>
      </w:r>
    </w:p>
    <w:p w:rsidR="00DD2425" w:rsidRDefault="00DD2425">
      <w:pPr>
        <w:spacing w:line="360" w:lineRule="auto"/>
        <w:jc w:val="center"/>
        <w:rPr>
          <w:rFonts w:ascii="Times New Roman" w:eastAsia="黑体" w:hAnsi="Times New Roman" w:cs="黑体"/>
          <w:bCs/>
          <w:sz w:val="44"/>
          <w:szCs w:val="44"/>
        </w:rPr>
      </w:pPr>
    </w:p>
    <w:p w:rsidR="00DD2425" w:rsidRDefault="00A470B7">
      <w:pPr>
        <w:numPr>
          <w:ilvl w:val="0"/>
          <w:numId w:val="1"/>
        </w:numPr>
        <w:spacing w:line="360" w:lineRule="auto"/>
        <w:jc w:val="lef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方案编制的背景</w:t>
      </w:r>
    </w:p>
    <w:p w:rsidR="00DD2425" w:rsidRDefault="00A470B7">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土地征收成片开发是指在国土空间规划确定的城镇开发边界内的集中建设区，由县级以上地方人民政府组织的对一定范围的土地进行的综合性开发建设活动。为进一步落实《土地管理法》第四十五条规定，充分体现土地征收成片开发的公共利益属性，有序开展土地征收工作，大连高新技术产业园区管理委员会按照《土地征收成片开发标准（试行）》（自然资规〔</w:t>
      </w:r>
      <w:r>
        <w:rPr>
          <w:rFonts w:ascii="Times New Roman" w:eastAsia="仿宋_GB2312" w:hAnsi="Times New Roman" w:cs="仿宋_GB2312" w:hint="eastAsia"/>
          <w:sz w:val="28"/>
          <w:szCs w:val="28"/>
        </w:rPr>
        <w:t>2020</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5</w:t>
      </w:r>
      <w:r>
        <w:rPr>
          <w:rFonts w:ascii="Times New Roman" w:eastAsia="仿宋_GB2312" w:hAnsi="Times New Roman" w:cs="仿宋_GB2312" w:hint="eastAsia"/>
          <w:sz w:val="28"/>
          <w:szCs w:val="28"/>
        </w:rPr>
        <w:t>号）、《关于做好土地征收成片开发的通知》（辽自然资函〔</w:t>
      </w:r>
      <w:r>
        <w:rPr>
          <w:rFonts w:ascii="Times New Roman" w:eastAsia="仿宋_GB2312" w:hAnsi="Times New Roman" w:cs="仿宋_GB2312" w:hint="eastAsia"/>
          <w:sz w:val="28"/>
          <w:szCs w:val="28"/>
        </w:rPr>
        <w:t>2021</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68</w:t>
      </w:r>
      <w:r>
        <w:rPr>
          <w:rFonts w:ascii="Times New Roman" w:eastAsia="仿宋_GB2312" w:hAnsi="Times New Roman" w:cs="仿宋_GB2312" w:hint="eastAsia"/>
          <w:sz w:val="28"/>
          <w:szCs w:val="28"/>
        </w:rPr>
        <w:t>号）的要求，依据高新区国民经济和社会发展规划、国土空间规划等相关规划，组织编制了《高新区</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年度第</w:t>
      </w:r>
      <w:r>
        <w:rPr>
          <w:rFonts w:ascii="Times New Roman" w:eastAsia="仿宋_GB2312" w:hAnsi="Times New Roman" w:cs="仿宋_GB2312" w:hint="eastAsia"/>
          <w:sz w:val="28"/>
          <w:szCs w:val="28"/>
        </w:rPr>
        <w:t>03</w:t>
      </w:r>
      <w:r>
        <w:rPr>
          <w:rFonts w:ascii="Times New Roman" w:eastAsia="仿宋_GB2312" w:hAnsi="Times New Roman" w:cs="仿宋_GB2312" w:hint="eastAsia"/>
          <w:sz w:val="28"/>
          <w:szCs w:val="28"/>
        </w:rPr>
        <w:t>批次土</w:t>
      </w:r>
      <w:r>
        <w:rPr>
          <w:rFonts w:ascii="Times New Roman" w:eastAsia="仿宋_GB2312" w:hAnsi="Times New Roman" w:cs="仿宋_GB2312" w:hint="eastAsia"/>
          <w:sz w:val="28"/>
          <w:szCs w:val="28"/>
        </w:rPr>
        <w:t>地征收成片开发方案》，以下简称《方案》。</w:t>
      </w:r>
    </w:p>
    <w:p w:rsidR="00DD2425" w:rsidRDefault="00A470B7">
      <w:pPr>
        <w:numPr>
          <w:ilvl w:val="0"/>
          <w:numId w:val="1"/>
        </w:numPr>
        <w:spacing w:line="360" w:lineRule="auto"/>
        <w:jc w:val="lef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成片开发范围基本情况</w:t>
      </w:r>
    </w:p>
    <w:p w:rsidR="00DD2425" w:rsidRDefault="00A470B7">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（一）成片开发范围区位分析</w:t>
      </w:r>
    </w:p>
    <w:p w:rsidR="00DD2425" w:rsidRDefault="00A470B7">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七贤岭片区</w:t>
      </w:r>
      <w:r>
        <w:rPr>
          <w:rFonts w:ascii="Times New Roman" w:eastAsia="仿宋_GB2312" w:hAnsi="Times New Roman" w:cs="仿宋_GB2312" w:hint="eastAsia"/>
          <w:sz w:val="28"/>
          <w:szCs w:val="28"/>
        </w:rPr>
        <w:t>位于</w:t>
      </w:r>
      <w:r>
        <w:rPr>
          <w:rFonts w:ascii="Times New Roman" w:eastAsia="仿宋_GB2312" w:hAnsi="Times New Roman" w:cs="仿宋_GB2312" w:hint="eastAsia"/>
          <w:sz w:val="28"/>
          <w:szCs w:val="28"/>
        </w:rPr>
        <w:t>凌水街道栾金村</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属于高新区国际都市创新中心，片区地理位置优越，交通便利。北至龙湖星海彼岸小区，南至七贤中路，西至七贤路，东至七贤南路。片区内以商业办公用地、医疗卫生用地为主。</w:t>
      </w:r>
    </w:p>
    <w:p w:rsidR="00DD2425" w:rsidRDefault="00A470B7">
      <w:pPr>
        <w:spacing w:line="360" w:lineRule="auto"/>
        <w:jc w:val="center"/>
        <w:rPr>
          <w:rFonts w:ascii="Times New Roman" w:eastAsia="仿宋_GB2312" w:hAnsi="Times New Roman" w:cs="仿宋_GB2312"/>
          <w:sz w:val="28"/>
          <w:szCs w:val="28"/>
        </w:rPr>
      </w:pPr>
      <w:r>
        <w:rPr>
          <w:noProof/>
        </w:rPr>
        <w:lastRenderedPageBreak/>
        <w:drawing>
          <wp:inline distT="0" distB="0" distL="0" distR="0">
            <wp:extent cx="4062730" cy="3600450"/>
            <wp:effectExtent l="0" t="0" r="0" b="0"/>
            <wp:docPr id="2815073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07399" name="图片 1"/>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62730" cy="3600450"/>
                    </a:xfrm>
                    <a:prstGeom prst="rect">
                      <a:avLst/>
                    </a:prstGeom>
                    <a:noFill/>
                    <a:ln>
                      <a:noFill/>
                    </a:ln>
                  </pic:spPr>
                </pic:pic>
              </a:graphicData>
            </a:graphic>
          </wp:inline>
        </w:drawing>
      </w:r>
      <w:r>
        <w:rPr>
          <w:rFonts w:ascii="Times New Roman" w:eastAsia="仿宋_GB2312" w:hAnsi="Times New Roman" w:cs="仿宋_GB2312" w:hint="eastAsia"/>
          <w:sz w:val="28"/>
          <w:szCs w:val="28"/>
        </w:rPr>
        <w:t xml:space="preserve"> </w:t>
      </w:r>
    </w:p>
    <w:p w:rsidR="00DD2425" w:rsidRDefault="00A470B7">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（二）土地利用现状情况</w:t>
      </w:r>
    </w:p>
    <w:p w:rsidR="00DD2425" w:rsidRDefault="00A470B7">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根据</w:t>
      </w:r>
      <w:r>
        <w:rPr>
          <w:rFonts w:ascii="Times New Roman" w:eastAsia="仿宋_GB2312" w:hAnsi="Times New Roman" w:cs="仿宋_GB2312" w:hint="eastAsia"/>
          <w:sz w:val="28"/>
          <w:szCs w:val="28"/>
        </w:rPr>
        <w:t>2021</w:t>
      </w:r>
      <w:r>
        <w:rPr>
          <w:rFonts w:ascii="Times New Roman" w:eastAsia="仿宋_GB2312" w:hAnsi="Times New Roman" w:cs="仿宋_GB2312" w:hint="eastAsia"/>
          <w:sz w:val="28"/>
          <w:szCs w:val="28"/>
        </w:rPr>
        <w:t>年度土地变更调查数据库结合土地征收成片开发范围，《方案》片区面积为</w:t>
      </w:r>
      <w:r>
        <w:rPr>
          <w:rFonts w:ascii="Times New Roman" w:eastAsia="仿宋_GB2312" w:hAnsi="Times New Roman" w:cs="仿宋_GB2312" w:hint="eastAsia"/>
          <w:sz w:val="28"/>
          <w:szCs w:val="28"/>
        </w:rPr>
        <w:t>6.5812</w:t>
      </w:r>
      <w:r>
        <w:rPr>
          <w:rFonts w:ascii="Times New Roman" w:eastAsia="仿宋_GB2312" w:hAnsi="Times New Roman" w:cs="仿宋_GB2312" w:hint="eastAsia"/>
          <w:sz w:val="28"/>
          <w:szCs w:val="28"/>
        </w:rPr>
        <w:t>公顷，其中，农用地</w:t>
      </w:r>
      <w:r>
        <w:rPr>
          <w:rFonts w:ascii="Times New Roman" w:eastAsia="仿宋_GB2312" w:hAnsi="Times New Roman" w:cs="仿宋_GB2312"/>
          <w:sz w:val="28"/>
          <w:szCs w:val="28"/>
        </w:rPr>
        <w:t>1.</w:t>
      </w:r>
      <w:bookmarkStart w:id="0" w:name="_GoBack"/>
      <w:bookmarkEnd w:id="0"/>
      <w:r>
        <w:rPr>
          <w:rFonts w:ascii="Times New Roman" w:eastAsia="仿宋_GB2312" w:hAnsi="Times New Roman" w:cs="仿宋_GB2312"/>
          <w:sz w:val="28"/>
          <w:szCs w:val="28"/>
        </w:rPr>
        <w:t>4302</w:t>
      </w:r>
      <w:r>
        <w:rPr>
          <w:rFonts w:ascii="Times New Roman" w:eastAsia="仿宋_GB2312" w:hAnsi="Times New Roman" w:cs="仿宋_GB2312" w:hint="eastAsia"/>
          <w:sz w:val="28"/>
          <w:szCs w:val="28"/>
        </w:rPr>
        <w:t>公顷，占总面积的比例为</w:t>
      </w:r>
      <w:r>
        <w:rPr>
          <w:rFonts w:ascii="Times New Roman" w:eastAsia="仿宋_GB2312" w:hAnsi="Times New Roman" w:cs="仿宋_GB2312" w:hint="eastAsia"/>
          <w:sz w:val="28"/>
          <w:szCs w:val="28"/>
        </w:rPr>
        <w:t>21.73%</w:t>
      </w:r>
      <w:r>
        <w:rPr>
          <w:rFonts w:ascii="Times New Roman" w:eastAsia="仿宋_GB2312" w:hAnsi="Times New Roman" w:cs="仿宋_GB2312" w:hint="eastAsia"/>
          <w:sz w:val="28"/>
          <w:szCs w:val="28"/>
        </w:rPr>
        <w:t>；建设用地</w:t>
      </w:r>
      <w:r>
        <w:rPr>
          <w:rFonts w:ascii="Times New Roman" w:eastAsia="仿宋_GB2312" w:hAnsi="Times New Roman" w:cs="仿宋_GB2312"/>
          <w:sz w:val="28"/>
          <w:szCs w:val="28"/>
        </w:rPr>
        <w:t>4.6034</w:t>
      </w:r>
      <w:r>
        <w:rPr>
          <w:rFonts w:ascii="Times New Roman" w:eastAsia="仿宋_GB2312" w:hAnsi="Times New Roman" w:cs="仿宋_GB2312" w:hint="eastAsia"/>
          <w:sz w:val="28"/>
          <w:szCs w:val="28"/>
        </w:rPr>
        <w:t>公顷，占总面积的比例为</w:t>
      </w:r>
      <w:r>
        <w:rPr>
          <w:rFonts w:ascii="Times New Roman" w:eastAsia="仿宋_GB2312" w:hAnsi="Times New Roman" w:cs="仿宋_GB2312" w:hint="eastAsia"/>
          <w:sz w:val="28"/>
          <w:szCs w:val="28"/>
        </w:rPr>
        <w:t>69.95%</w:t>
      </w:r>
      <w:r>
        <w:rPr>
          <w:rFonts w:ascii="Times New Roman" w:eastAsia="仿宋_GB2312" w:hAnsi="Times New Roman" w:cs="仿宋_GB2312" w:hint="eastAsia"/>
          <w:sz w:val="28"/>
          <w:szCs w:val="28"/>
        </w:rPr>
        <w:t>；未利用地</w:t>
      </w:r>
      <w:r>
        <w:rPr>
          <w:rFonts w:ascii="Times New Roman" w:eastAsia="仿宋_GB2312" w:hAnsi="Times New Roman" w:cs="仿宋_GB2312"/>
          <w:sz w:val="28"/>
          <w:szCs w:val="28"/>
        </w:rPr>
        <w:t>0.5476</w:t>
      </w:r>
      <w:r>
        <w:rPr>
          <w:rFonts w:ascii="Times New Roman" w:eastAsia="仿宋_GB2312" w:hAnsi="Times New Roman" w:cs="仿宋_GB2312" w:hint="eastAsia"/>
          <w:sz w:val="28"/>
          <w:szCs w:val="28"/>
        </w:rPr>
        <w:t>公顷，占总面积的比例为</w:t>
      </w:r>
      <w:r>
        <w:rPr>
          <w:rFonts w:ascii="Times New Roman" w:eastAsia="仿宋_GB2312" w:hAnsi="Times New Roman" w:cs="仿宋_GB2312" w:hint="eastAsia"/>
          <w:sz w:val="28"/>
          <w:szCs w:val="28"/>
        </w:rPr>
        <w:t>8.32%</w:t>
      </w:r>
      <w:r>
        <w:rPr>
          <w:rFonts w:ascii="Times New Roman" w:eastAsia="仿宋_GB2312" w:hAnsi="Times New Roman" w:cs="仿宋_GB2312" w:hint="eastAsia"/>
          <w:sz w:val="28"/>
          <w:szCs w:val="28"/>
        </w:rPr>
        <w:t>。</w:t>
      </w:r>
    </w:p>
    <w:p w:rsidR="00DD2425" w:rsidRDefault="00A470B7">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农用地</w:t>
      </w:r>
      <w:r>
        <w:rPr>
          <w:rFonts w:ascii="Times New Roman" w:eastAsia="仿宋_GB2312" w:hAnsi="Times New Roman" w:cs="仿宋_GB2312"/>
          <w:sz w:val="28"/>
          <w:szCs w:val="28"/>
        </w:rPr>
        <w:t>1.4302</w:t>
      </w:r>
      <w:r>
        <w:rPr>
          <w:rFonts w:ascii="Times New Roman" w:eastAsia="仿宋_GB2312" w:hAnsi="Times New Roman" w:cs="仿宋_GB2312" w:hint="eastAsia"/>
          <w:sz w:val="28"/>
          <w:szCs w:val="28"/>
        </w:rPr>
        <w:t>公顷，其中：旱地</w:t>
      </w:r>
      <w:r>
        <w:rPr>
          <w:rFonts w:ascii="Times New Roman" w:eastAsia="仿宋_GB2312" w:hAnsi="Times New Roman" w:cs="仿宋_GB2312"/>
          <w:sz w:val="28"/>
          <w:szCs w:val="28"/>
        </w:rPr>
        <w:t>0.2585</w:t>
      </w:r>
      <w:r>
        <w:rPr>
          <w:rFonts w:ascii="Times New Roman" w:eastAsia="仿宋_GB2312" w:hAnsi="Times New Roman" w:cs="仿宋_GB2312" w:hint="eastAsia"/>
          <w:sz w:val="28"/>
          <w:szCs w:val="28"/>
        </w:rPr>
        <w:t>公顷，乔木林地</w:t>
      </w:r>
      <w:r>
        <w:rPr>
          <w:rFonts w:ascii="Times New Roman" w:eastAsia="仿宋_GB2312" w:hAnsi="Times New Roman" w:cs="仿宋_GB2312"/>
          <w:sz w:val="28"/>
          <w:szCs w:val="28"/>
        </w:rPr>
        <w:t>0.4154</w:t>
      </w:r>
      <w:r>
        <w:rPr>
          <w:rFonts w:ascii="Times New Roman" w:eastAsia="仿宋_GB2312" w:hAnsi="Times New Roman" w:cs="仿宋_GB2312" w:hint="eastAsia"/>
          <w:sz w:val="28"/>
          <w:szCs w:val="28"/>
        </w:rPr>
        <w:t>公顷，其他林地</w:t>
      </w:r>
      <w:r>
        <w:rPr>
          <w:rFonts w:ascii="Times New Roman" w:eastAsia="仿宋_GB2312" w:hAnsi="Times New Roman" w:cs="仿宋_GB2312"/>
          <w:sz w:val="28"/>
          <w:szCs w:val="28"/>
        </w:rPr>
        <w:t>0.7563</w:t>
      </w:r>
      <w:r>
        <w:rPr>
          <w:rFonts w:ascii="Times New Roman" w:eastAsia="仿宋_GB2312" w:hAnsi="Times New Roman" w:cs="仿宋_GB2312" w:hint="eastAsia"/>
          <w:sz w:val="28"/>
          <w:szCs w:val="28"/>
        </w:rPr>
        <w:t>公顷。</w:t>
      </w:r>
    </w:p>
    <w:p w:rsidR="00DD2425" w:rsidRDefault="00A470B7">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建设用地</w:t>
      </w:r>
      <w:r>
        <w:rPr>
          <w:rFonts w:ascii="Times New Roman" w:eastAsia="仿宋_GB2312" w:hAnsi="Times New Roman" w:cs="仿宋_GB2312"/>
          <w:sz w:val="28"/>
          <w:szCs w:val="28"/>
        </w:rPr>
        <w:t>4.6034</w:t>
      </w:r>
      <w:r>
        <w:rPr>
          <w:rFonts w:ascii="Times New Roman" w:eastAsia="仿宋_GB2312" w:hAnsi="Times New Roman" w:cs="仿宋_GB2312" w:hint="eastAsia"/>
          <w:sz w:val="28"/>
          <w:szCs w:val="28"/>
        </w:rPr>
        <w:t>公顷，其中：工业用地</w:t>
      </w:r>
      <w:r>
        <w:rPr>
          <w:rFonts w:ascii="Times New Roman" w:eastAsia="仿宋_GB2312" w:hAnsi="Times New Roman" w:cs="仿宋_GB2312"/>
          <w:sz w:val="28"/>
          <w:szCs w:val="28"/>
        </w:rPr>
        <w:t>0.0536</w:t>
      </w:r>
      <w:r>
        <w:rPr>
          <w:rFonts w:ascii="Times New Roman" w:eastAsia="仿宋_GB2312" w:hAnsi="Times New Roman" w:cs="仿宋_GB2312" w:hint="eastAsia"/>
          <w:sz w:val="28"/>
          <w:szCs w:val="28"/>
        </w:rPr>
        <w:t>公顷，公用设施用地</w:t>
      </w:r>
      <w:r>
        <w:rPr>
          <w:rFonts w:ascii="Times New Roman" w:eastAsia="仿宋_GB2312" w:hAnsi="Times New Roman" w:cs="仿宋_GB2312"/>
          <w:sz w:val="28"/>
          <w:szCs w:val="28"/>
        </w:rPr>
        <w:t>0.8366</w:t>
      </w:r>
      <w:r>
        <w:rPr>
          <w:rFonts w:ascii="Times New Roman" w:eastAsia="仿宋_GB2312" w:hAnsi="Times New Roman" w:cs="仿宋_GB2312" w:hint="eastAsia"/>
          <w:sz w:val="28"/>
          <w:szCs w:val="28"/>
        </w:rPr>
        <w:t>公顷，科教文卫用地</w:t>
      </w:r>
      <w:r>
        <w:rPr>
          <w:rFonts w:ascii="Times New Roman" w:eastAsia="仿宋_GB2312" w:hAnsi="Times New Roman" w:cs="仿宋_GB2312"/>
          <w:sz w:val="28"/>
          <w:szCs w:val="28"/>
        </w:rPr>
        <w:t>2.8319</w:t>
      </w:r>
      <w:r>
        <w:rPr>
          <w:rFonts w:ascii="Times New Roman" w:eastAsia="仿宋_GB2312" w:hAnsi="Times New Roman" w:cs="仿宋_GB2312" w:hint="eastAsia"/>
          <w:sz w:val="28"/>
          <w:szCs w:val="28"/>
        </w:rPr>
        <w:t>公顷，城镇村道路用地</w:t>
      </w:r>
      <w:r>
        <w:rPr>
          <w:rFonts w:ascii="Times New Roman" w:eastAsia="仿宋_GB2312" w:hAnsi="Times New Roman" w:cs="仿宋_GB2312"/>
          <w:sz w:val="28"/>
          <w:szCs w:val="28"/>
        </w:rPr>
        <w:t>0.0375</w:t>
      </w:r>
      <w:r>
        <w:rPr>
          <w:rFonts w:ascii="Times New Roman" w:eastAsia="仿宋_GB2312" w:hAnsi="Times New Roman" w:cs="仿宋_GB2312" w:hint="eastAsia"/>
          <w:sz w:val="28"/>
          <w:szCs w:val="28"/>
        </w:rPr>
        <w:t>公顷，交通服务场站用地</w:t>
      </w:r>
      <w:r>
        <w:rPr>
          <w:rFonts w:ascii="Times New Roman" w:eastAsia="仿宋_GB2312" w:hAnsi="Times New Roman" w:cs="仿宋_GB2312"/>
          <w:sz w:val="28"/>
          <w:szCs w:val="28"/>
        </w:rPr>
        <w:t>0.8438</w:t>
      </w:r>
      <w:r>
        <w:rPr>
          <w:rFonts w:ascii="Times New Roman" w:eastAsia="仿宋_GB2312" w:hAnsi="Times New Roman" w:cs="仿宋_GB2312" w:hint="eastAsia"/>
          <w:sz w:val="28"/>
          <w:szCs w:val="28"/>
        </w:rPr>
        <w:t>公顷。</w:t>
      </w:r>
    </w:p>
    <w:p w:rsidR="00DD2425" w:rsidRDefault="00A470B7">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未利用地</w:t>
      </w:r>
      <w:r>
        <w:rPr>
          <w:rFonts w:ascii="Times New Roman" w:eastAsia="仿宋_GB2312" w:hAnsi="Times New Roman" w:cs="仿宋_GB2312"/>
          <w:sz w:val="28"/>
          <w:szCs w:val="28"/>
        </w:rPr>
        <w:t>0.5476</w:t>
      </w:r>
      <w:r>
        <w:rPr>
          <w:rFonts w:ascii="Times New Roman" w:eastAsia="仿宋_GB2312" w:hAnsi="Times New Roman" w:cs="仿宋_GB2312" w:hint="eastAsia"/>
          <w:sz w:val="28"/>
          <w:szCs w:val="28"/>
        </w:rPr>
        <w:t>公顷，全部为其他草地。</w:t>
      </w:r>
    </w:p>
    <w:p w:rsidR="00DD2425" w:rsidRDefault="00DD2425">
      <w:pPr>
        <w:pStyle w:val="a0"/>
      </w:pPr>
    </w:p>
    <w:p w:rsidR="00DD2425" w:rsidRDefault="00DD2425">
      <w:pPr>
        <w:pStyle w:val="a0"/>
      </w:pPr>
    </w:p>
    <w:p w:rsidR="00DD2425" w:rsidRDefault="00DD2425">
      <w:pPr>
        <w:pStyle w:val="a0"/>
      </w:pPr>
    </w:p>
    <w:p w:rsidR="00DD2425" w:rsidRDefault="00A470B7">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lastRenderedPageBreak/>
        <w:t>（三）成片开方案土地权属情况</w:t>
      </w:r>
    </w:p>
    <w:p w:rsidR="00DD2425" w:rsidRDefault="00A470B7">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依据</w:t>
      </w:r>
      <w:r>
        <w:rPr>
          <w:rFonts w:ascii="Times New Roman" w:eastAsia="仿宋_GB2312" w:hAnsi="Times New Roman" w:cs="仿宋_GB2312" w:hint="eastAsia"/>
          <w:sz w:val="28"/>
          <w:szCs w:val="28"/>
        </w:rPr>
        <w:t>2021</w:t>
      </w:r>
      <w:r>
        <w:rPr>
          <w:rFonts w:ascii="Times New Roman" w:eastAsia="仿宋_GB2312" w:hAnsi="Times New Roman" w:cs="仿宋_GB2312" w:hint="eastAsia"/>
          <w:sz w:val="28"/>
          <w:szCs w:val="28"/>
        </w:rPr>
        <w:t>年度国土变更调查数据库，并与历年土地</w:t>
      </w:r>
      <w:r>
        <w:rPr>
          <w:rFonts w:ascii="Times New Roman" w:eastAsia="仿宋_GB2312" w:hAnsi="Times New Roman" w:cs="仿宋_GB2312" w:hint="eastAsia"/>
          <w:sz w:val="28"/>
          <w:szCs w:val="28"/>
        </w:rPr>
        <w:t>征收、土地权属等数据校核后，片区内国有土地</w:t>
      </w:r>
      <w:r>
        <w:rPr>
          <w:rFonts w:ascii="Times New Roman" w:eastAsia="仿宋_GB2312" w:hAnsi="Times New Roman" w:cs="仿宋_GB2312" w:hint="eastAsia"/>
          <w:sz w:val="28"/>
          <w:szCs w:val="28"/>
        </w:rPr>
        <w:t>5.2796</w:t>
      </w:r>
      <w:r>
        <w:rPr>
          <w:rFonts w:ascii="Times New Roman" w:eastAsia="仿宋_GB2312" w:hAnsi="Times New Roman" w:cs="仿宋_GB2312" w:hint="eastAsia"/>
          <w:sz w:val="28"/>
          <w:szCs w:val="28"/>
        </w:rPr>
        <w:t>公顷，集体土地</w:t>
      </w:r>
      <w:r>
        <w:rPr>
          <w:rFonts w:ascii="Times New Roman" w:eastAsia="仿宋_GB2312" w:hAnsi="Times New Roman" w:cs="仿宋_GB2312" w:hint="eastAsia"/>
          <w:sz w:val="28"/>
          <w:szCs w:val="28"/>
        </w:rPr>
        <w:t>1.3016</w:t>
      </w:r>
      <w:r>
        <w:rPr>
          <w:rFonts w:ascii="Times New Roman" w:eastAsia="仿宋_GB2312" w:hAnsi="Times New Roman" w:cs="仿宋_GB2312" w:hint="eastAsia"/>
          <w:sz w:val="28"/>
          <w:szCs w:val="28"/>
        </w:rPr>
        <w:t>公顷。集体土地只涉及占用</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个权属单位，即凌水街道栾金村村集体。</w:t>
      </w:r>
    </w:p>
    <w:p w:rsidR="00DD2425" w:rsidRDefault="00A470B7">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（四）成片开发方案土地用途安排</w:t>
      </w:r>
    </w:p>
    <w:p w:rsidR="00DD2425" w:rsidRDefault="00A470B7">
      <w:pPr>
        <w:spacing w:line="360" w:lineRule="auto"/>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成片开发范围总面积为</w:t>
      </w:r>
      <w:r>
        <w:rPr>
          <w:rFonts w:ascii="Times New Roman" w:eastAsia="仿宋_GB2312" w:hAnsi="Times New Roman" w:cs="仿宋_GB2312" w:hint="eastAsia"/>
          <w:sz w:val="28"/>
          <w:szCs w:val="28"/>
        </w:rPr>
        <w:t>6.5812</w:t>
      </w:r>
      <w:r>
        <w:rPr>
          <w:rFonts w:ascii="Times New Roman" w:eastAsia="仿宋_GB2312" w:hAnsi="Times New Roman" w:cs="仿宋_GB2312" w:hint="eastAsia"/>
          <w:sz w:val="28"/>
          <w:szCs w:val="28"/>
        </w:rPr>
        <w:t>公顷，规划用途包括商业服务业用地（商务金融用地）</w:t>
      </w:r>
      <w:r>
        <w:rPr>
          <w:rFonts w:ascii="Times New Roman" w:eastAsia="仿宋_GB2312" w:hAnsi="Times New Roman" w:cs="仿宋_GB2312" w:hint="eastAsia"/>
          <w:sz w:val="28"/>
          <w:szCs w:val="28"/>
        </w:rPr>
        <w:t>3.5561</w:t>
      </w:r>
      <w:r>
        <w:rPr>
          <w:rFonts w:ascii="Times New Roman" w:eastAsia="仿宋_GB2312" w:hAnsi="Times New Roman" w:cs="仿宋_GB2312" w:hint="eastAsia"/>
          <w:sz w:val="28"/>
          <w:szCs w:val="28"/>
        </w:rPr>
        <w:t>公顷，交通运输用地（交通服务场站用地）</w:t>
      </w:r>
      <w:r>
        <w:rPr>
          <w:rFonts w:ascii="Times New Roman" w:eastAsia="仿宋_GB2312" w:hAnsi="Times New Roman" w:cs="仿宋_GB2312" w:hint="eastAsia"/>
          <w:sz w:val="28"/>
          <w:szCs w:val="28"/>
        </w:rPr>
        <w:t>0.4000</w:t>
      </w:r>
      <w:r>
        <w:rPr>
          <w:rFonts w:ascii="Times New Roman" w:eastAsia="仿宋_GB2312" w:hAnsi="Times New Roman" w:cs="仿宋_GB2312" w:hint="eastAsia"/>
          <w:sz w:val="28"/>
          <w:szCs w:val="28"/>
        </w:rPr>
        <w:t>公顷，公共管理与公共服务用地（医疗卫生用地）</w:t>
      </w:r>
      <w:r>
        <w:rPr>
          <w:rFonts w:ascii="Times New Roman" w:eastAsia="仿宋_GB2312" w:hAnsi="Times New Roman" w:cs="仿宋_GB2312"/>
          <w:sz w:val="28"/>
          <w:szCs w:val="28"/>
        </w:rPr>
        <w:t>2</w:t>
      </w:r>
      <w:r>
        <w:rPr>
          <w:rFonts w:ascii="Times New Roman" w:eastAsia="仿宋_GB2312" w:hAnsi="Times New Roman" w:cs="仿宋_GB2312" w:hint="eastAsia"/>
          <w:sz w:val="28"/>
          <w:szCs w:val="28"/>
        </w:rPr>
        <w:t>.</w:t>
      </w:r>
      <w:r>
        <w:rPr>
          <w:rFonts w:ascii="Times New Roman" w:eastAsia="仿宋_GB2312" w:hAnsi="Times New Roman" w:cs="仿宋_GB2312"/>
          <w:sz w:val="28"/>
          <w:szCs w:val="28"/>
        </w:rPr>
        <w:t>6251</w:t>
      </w:r>
      <w:r>
        <w:rPr>
          <w:rFonts w:ascii="Times New Roman" w:eastAsia="仿宋_GB2312" w:hAnsi="Times New Roman" w:cs="仿宋_GB2312" w:hint="eastAsia"/>
          <w:sz w:val="28"/>
          <w:szCs w:val="28"/>
        </w:rPr>
        <w:t>公顷。</w:t>
      </w:r>
    </w:p>
    <w:p w:rsidR="00DD2425" w:rsidRDefault="00A470B7">
      <w:pPr>
        <w:pStyle w:val="a4"/>
        <w:spacing w:before="0"/>
        <w:ind w:firstLineChars="500" w:firstLine="1200"/>
        <w:rPr>
          <w:rFonts w:ascii="黑体" w:eastAsia="黑体" w:hAnsi="黑体"/>
          <w:sz w:val="24"/>
          <w:szCs w:val="24"/>
        </w:rPr>
      </w:pPr>
      <w:r>
        <w:rPr>
          <w:rFonts w:ascii="黑体" w:eastAsia="黑体" w:hAnsi="黑体" w:hint="eastAsia"/>
          <w:sz w:val="24"/>
          <w:szCs w:val="24"/>
        </w:rPr>
        <w:t>高新区</w:t>
      </w:r>
      <w:r>
        <w:rPr>
          <w:rFonts w:ascii="黑体" w:eastAsia="黑体" w:hAnsi="黑体" w:hint="eastAsia"/>
          <w:sz w:val="24"/>
          <w:szCs w:val="24"/>
        </w:rPr>
        <w:t>2023</w:t>
      </w:r>
      <w:r>
        <w:rPr>
          <w:rFonts w:ascii="黑体" w:eastAsia="黑体" w:hAnsi="黑体" w:hint="eastAsia"/>
          <w:sz w:val="24"/>
          <w:szCs w:val="24"/>
        </w:rPr>
        <w:t>年度第</w:t>
      </w:r>
      <w:r>
        <w:rPr>
          <w:rFonts w:ascii="黑体" w:eastAsia="黑体" w:hAnsi="黑体" w:hint="eastAsia"/>
          <w:sz w:val="24"/>
          <w:szCs w:val="24"/>
        </w:rPr>
        <w:t>03</w:t>
      </w:r>
      <w:r>
        <w:rPr>
          <w:rFonts w:ascii="黑体" w:eastAsia="黑体" w:hAnsi="黑体" w:hint="eastAsia"/>
          <w:sz w:val="24"/>
          <w:szCs w:val="24"/>
        </w:rPr>
        <w:t>批次规划用地类型统计表</w:t>
      </w:r>
    </w:p>
    <w:p w:rsidR="00DD2425" w:rsidRDefault="00A470B7">
      <w:pPr>
        <w:pStyle w:val="a4"/>
        <w:spacing w:before="0"/>
        <w:ind w:left="102" w:firstLineChars="900" w:firstLine="2160"/>
        <w:jc w:val="right"/>
        <w:rPr>
          <w:rFonts w:ascii="黑体" w:eastAsia="黑体" w:hAnsi="黑体"/>
          <w:sz w:val="18"/>
          <w:szCs w:val="18"/>
        </w:rPr>
      </w:pPr>
      <w:r>
        <w:rPr>
          <w:rFonts w:ascii="黑体" w:eastAsia="黑体" w:hAnsi="黑体" w:hint="eastAsia"/>
          <w:sz w:val="24"/>
          <w:szCs w:val="24"/>
        </w:rPr>
        <w:t xml:space="preserve">                                     </w:t>
      </w:r>
      <w:r>
        <w:rPr>
          <w:rFonts w:ascii="黑体" w:eastAsia="黑体" w:hAnsi="黑体" w:hint="eastAsia"/>
          <w:sz w:val="18"/>
          <w:szCs w:val="18"/>
        </w:rPr>
        <w:t>单位：公顷，</w:t>
      </w:r>
      <w:r>
        <w:rPr>
          <w:rFonts w:ascii="黑体" w:eastAsia="黑体" w:hAnsi="黑体" w:hint="eastAsia"/>
          <w:sz w:val="18"/>
          <w:szCs w:val="18"/>
        </w:rPr>
        <w:t>%</w:t>
      </w:r>
    </w:p>
    <w:tbl>
      <w:tblPr>
        <w:tblStyle w:val="a8"/>
        <w:tblW w:w="4998" w:type="pct"/>
        <w:tblBorders>
          <w:top w:val="single" w:sz="12" w:space="0" w:color="auto"/>
          <w:left w:val="single" w:sz="12" w:space="0" w:color="auto"/>
          <w:bottom w:val="single" w:sz="12" w:space="0" w:color="auto"/>
          <w:right w:val="single" w:sz="12" w:space="0" w:color="auto"/>
        </w:tblBorders>
        <w:tblLook w:val="04A0"/>
      </w:tblPr>
      <w:tblGrid>
        <w:gridCol w:w="2130"/>
        <w:gridCol w:w="2373"/>
        <w:gridCol w:w="1886"/>
        <w:gridCol w:w="2130"/>
      </w:tblGrid>
      <w:tr w:rsidR="00DD2425">
        <w:trPr>
          <w:trHeight w:val="567"/>
        </w:trPr>
        <w:tc>
          <w:tcPr>
            <w:tcW w:w="2643" w:type="pct"/>
            <w:gridSpan w:val="2"/>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类别</w:t>
            </w:r>
          </w:p>
        </w:tc>
        <w:tc>
          <w:tcPr>
            <w:tcW w:w="1107"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面积</w:t>
            </w:r>
          </w:p>
        </w:tc>
        <w:tc>
          <w:tcPr>
            <w:tcW w:w="1250"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比例</w:t>
            </w:r>
          </w:p>
        </w:tc>
      </w:tr>
      <w:tr w:rsidR="00DD2425">
        <w:trPr>
          <w:trHeight w:val="567"/>
        </w:trPr>
        <w:tc>
          <w:tcPr>
            <w:tcW w:w="1250"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商业服务业用地</w:t>
            </w:r>
          </w:p>
        </w:tc>
        <w:tc>
          <w:tcPr>
            <w:tcW w:w="1393"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商务金融用地</w:t>
            </w:r>
          </w:p>
        </w:tc>
        <w:tc>
          <w:tcPr>
            <w:tcW w:w="1107"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sz w:val="24"/>
                <w:szCs w:val="24"/>
              </w:rPr>
              <w:t>3.5561</w:t>
            </w:r>
          </w:p>
        </w:tc>
        <w:tc>
          <w:tcPr>
            <w:tcW w:w="1250"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54.03</w:t>
            </w:r>
          </w:p>
        </w:tc>
      </w:tr>
      <w:tr w:rsidR="00DD2425">
        <w:trPr>
          <w:trHeight w:val="567"/>
        </w:trPr>
        <w:tc>
          <w:tcPr>
            <w:tcW w:w="1250"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交通运输用地</w:t>
            </w:r>
          </w:p>
        </w:tc>
        <w:tc>
          <w:tcPr>
            <w:tcW w:w="1393"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交通服务场站用地</w:t>
            </w:r>
          </w:p>
        </w:tc>
        <w:tc>
          <w:tcPr>
            <w:tcW w:w="1107"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sz w:val="24"/>
                <w:szCs w:val="24"/>
              </w:rPr>
              <w:t>0.4000</w:t>
            </w:r>
          </w:p>
        </w:tc>
        <w:tc>
          <w:tcPr>
            <w:tcW w:w="1250"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6.08</w:t>
            </w:r>
          </w:p>
        </w:tc>
      </w:tr>
      <w:tr w:rsidR="00DD2425">
        <w:trPr>
          <w:trHeight w:val="567"/>
        </w:trPr>
        <w:tc>
          <w:tcPr>
            <w:tcW w:w="1250"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公共管理与公共服务用地</w:t>
            </w:r>
          </w:p>
        </w:tc>
        <w:tc>
          <w:tcPr>
            <w:tcW w:w="1393"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医疗卫生用地</w:t>
            </w:r>
          </w:p>
        </w:tc>
        <w:tc>
          <w:tcPr>
            <w:tcW w:w="1107"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sz w:val="24"/>
                <w:szCs w:val="24"/>
              </w:rPr>
              <w:t>2.6251</w:t>
            </w:r>
          </w:p>
        </w:tc>
        <w:tc>
          <w:tcPr>
            <w:tcW w:w="1250"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 xml:space="preserve">39.89 </w:t>
            </w:r>
          </w:p>
        </w:tc>
      </w:tr>
      <w:tr w:rsidR="00DD2425">
        <w:trPr>
          <w:trHeight w:val="567"/>
        </w:trPr>
        <w:tc>
          <w:tcPr>
            <w:tcW w:w="2643" w:type="pct"/>
            <w:gridSpan w:val="2"/>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合计</w:t>
            </w:r>
          </w:p>
        </w:tc>
        <w:tc>
          <w:tcPr>
            <w:tcW w:w="1107"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6.5812</w:t>
            </w:r>
          </w:p>
        </w:tc>
        <w:tc>
          <w:tcPr>
            <w:tcW w:w="1250" w:type="pct"/>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 xml:space="preserve">100.00 </w:t>
            </w:r>
          </w:p>
        </w:tc>
      </w:tr>
    </w:tbl>
    <w:p w:rsidR="00DD2425" w:rsidRDefault="00DD2425">
      <w:pPr>
        <w:pStyle w:val="a0"/>
        <w:ind w:firstLine="560"/>
        <w:rPr>
          <w:rFonts w:ascii="Times New Roman" w:eastAsia="仿宋_GB2312" w:hAnsi="Times New Roman" w:cs="仿宋_GB2312"/>
          <w:sz w:val="28"/>
          <w:szCs w:val="28"/>
        </w:rPr>
      </w:pPr>
    </w:p>
    <w:p w:rsidR="00DD2425" w:rsidRDefault="00A470B7">
      <w:pPr>
        <w:numPr>
          <w:ilvl w:val="0"/>
          <w:numId w:val="1"/>
        </w:numPr>
        <w:spacing w:line="360" w:lineRule="auto"/>
        <w:jc w:val="lef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政策性分析</w:t>
      </w:r>
    </w:p>
    <w:p w:rsidR="00DD2425" w:rsidRDefault="00A470B7">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（一）符合国民经济和社会发展规划、年度计划</w:t>
      </w:r>
    </w:p>
    <w:p w:rsidR="00DD2425" w:rsidRDefault="00A470B7">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方案满足《大连高新区国民经济和社会发展第十四个五年规划和二〇三五年远景目标纲要》的要求和定位。</w:t>
      </w:r>
    </w:p>
    <w:p w:rsidR="00DD2425" w:rsidRDefault="00A470B7">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方案已纳入高新区国民经济和社会发展年度计划。符合规划的发展定位要求，符合对土地征收成片开发范围的空间布局，有利于完成</w:t>
      </w:r>
      <w:r>
        <w:rPr>
          <w:rFonts w:ascii="Times New Roman" w:eastAsia="仿宋_GB2312" w:hAnsi="Times New Roman" w:cs="仿宋_GB2312" w:hint="eastAsia"/>
          <w:sz w:val="28"/>
          <w:szCs w:val="28"/>
        </w:rPr>
        <w:lastRenderedPageBreak/>
        <w:t>规划目标任务。</w:t>
      </w:r>
    </w:p>
    <w:p w:rsidR="00DD2425" w:rsidRDefault="00A470B7">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（二）符合国土空间规划</w:t>
      </w:r>
    </w:p>
    <w:p w:rsidR="00DD2425" w:rsidRDefault="00A470B7">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本次成片开发范围已充分衔接《大连市国土空间规划（</w:t>
      </w:r>
      <w:r>
        <w:rPr>
          <w:rFonts w:ascii="Times New Roman" w:eastAsia="仿宋_GB2312" w:hAnsi="Times New Roman" w:cs="仿宋_GB2312" w:hint="eastAsia"/>
          <w:sz w:val="28"/>
          <w:szCs w:val="28"/>
        </w:rPr>
        <w:t>2021-2035</w:t>
      </w:r>
      <w:r>
        <w:rPr>
          <w:rFonts w:ascii="Times New Roman" w:eastAsia="仿宋_GB2312" w:hAnsi="Times New Roman" w:cs="仿宋_GB2312" w:hint="eastAsia"/>
          <w:sz w:val="28"/>
          <w:szCs w:val="28"/>
        </w:rPr>
        <w:t>年）》，拟划定成片开发范围均位于大连市城镇开发边界的集中建设区范围内，符合《标准》要求。</w:t>
      </w:r>
    </w:p>
    <w:p w:rsidR="00DD2425" w:rsidRDefault="00A470B7">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（三）永久基本农田占用情况</w:t>
      </w:r>
    </w:p>
    <w:p w:rsidR="00DD2425" w:rsidRDefault="00A470B7">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成片开发范围选址过程中，充分考虑避让永久基本农田。经与大连市“三区三线”划定成果中的永久基本农田图斑套合后，高新区范围内无永久基本农田，因此成片开发范围不涉及永久基本农田。</w:t>
      </w:r>
    </w:p>
    <w:p w:rsidR="00DD2425" w:rsidRDefault="00A470B7">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（四）生态保护红线占用情况</w:t>
      </w:r>
    </w:p>
    <w:p w:rsidR="00DD2425" w:rsidRDefault="00A470B7">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成片开发范围选址过程中，充分考虑避让生态保护红线。经与大连市生态保护红线范围套合后，成片开发范围不在生态保护红线范围内。经核实，成片开发范围不涉及生态功能极重要区域和生态环境极敏感脆弱区域、自然保护地、风景名胜区、森林公园、饮用水源地、公益林等各类法定保护区范围。</w:t>
      </w:r>
    </w:p>
    <w:p w:rsidR="00DD2425" w:rsidRDefault="00A470B7">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（五）公益性用地比例</w:t>
      </w:r>
    </w:p>
    <w:p w:rsidR="00DD2425" w:rsidRDefault="00A470B7">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本次成片开发范围内公益性用地面积</w:t>
      </w:r>
      <w:r>
        <w:rPr>
          <w:rFonts w:ascii="Times New Roman" w:eastAsia="仿宋_GB2312" w:hAnsi="Times New Roman" w:cs="仿宋_GB2312" w:hint="eastAsia"/>
          <w:sz w:val="28"/>
          <w:szCs w:val="28"/>
        </w:rPr>
        <w:t>3.0251</w:t>
      </w:r>
      <w:r>
        <w:rPr>
          <w:rFonts w:ascii="Times New Roman" w:eastAsia="仿宋_GB2312" w:hAnsi="Times New Roman" w:cs="仿宋_GB2312" w:hint="eastAsia"/>
          <w:sz w:val="28"/>
          <w:szCs w:val="28"/>
        </w:rPr>
        <w:t>公顷，其中交通运输用地</w:t>
      </w:r>
      <w:r>
        <w:rPr>
          <w:rFonts w:ascii="Times New Roman" w:eastAsia="仿宋_GB2312" w:hAnsi="Times New Roman" w:cs="仿宋_GB2312"/>
          <w:sz w:val="28"/>
          <w:szCs w:val="28"/>
        </w:rPr>
        <w:t>0.4000</w:t>
      </w:r>
      <w:r>
        <w:rPr>
          <w:rFonts w:ascii="Times New Roman" w:eastAsia="仿宋_GB2312" w:hAnsi="Times New Roman" w:cs="仿宋_GB2312" w:hint="eastAsia"/>
          <w:sz w:val="28"/>
          <w:szCs w:val="28"/>
        </w:rPr>
        <w:t>公项，公共管理与公共服务用地</w:t>
      </w:r>
      <w:r>
        <w:rPr>
          <w:rFonts w:ascii="Times New Roman" w:eastAsia="仿宋_GB2312" w:hAnsi="Times New Roman" w:cs="仿宋_GB2312"/>
          <w:sz w:val="28"/>
          <w:szCs w:val="28"/>
        </w:rPr>
        <w:t>2.6251</w:t>
      </w:r>
      <w:r>
        <w:rPr>
          <w:rFonts w:ascii="Times New Roman" w:eastAsia="仿宋_GB2312" w:hAnsi="Times New Roman" w:cs="仿宋_GB2312" w:hint="eastAsia"/>
          <w:sz w:val="28"/>
          <w:szCs w:val="28"/>
        </w:rPr>
        <w:t>公顷。公益性用地面积占成片开发土地总面积的</w:t>
      </w:r>
      <w:r>
        <w:rPr>
          <w:rFonts w:ascii="Times New Roman" w:eastAsia="仿宋_GB2312" w:hAnsi="Times New Roman" w:cs="仿宋_GB2312" w:hint="eastAsia"/>
          <w:sz w:val="28"/>
          <w:szCs w:val="28"/>
        </w:rPr>
        <w:t>45.97%</w:t>
      </w:r>
      <w:r>
        <w:rPr>
          <w:rFonts w:ascii="Times New Roman" w:eastAsia="仿宋_GB2312" w:hAnsi="Times New Roman" w:cs="仿宋_GB2312" w:hint="eastAsia"/>
          <w:sz w:val="28"/>
          <w:szCs w:val="28"/>
        </w:rPr>
        <w:t>，符合公益性用地占比不</w:t>
      </w:r>
      <w:r>
        <w:rPr>
          <w:rFonts w:ascii="Times New Roman" w:eastAsia="仿宋_GB2312" w:hAnsi="Times New Roman" w:cs="仿宋_GB2312" w:hint="eastAsia"/>
          <w:sz w:val="28"/>
          <w:szCs w:val="28"/>
        </w:rPr>
        <w:t>低于</w:t>
      </w:r>
      <w:r>
        <w:rPr>
          <w:rFonts w:ascii="Times New Roman" w:eastAsia="仿宋_GB2312" w:hAnsi="Times New Roman" w:cs="仿宋_GB2312" w:hint="eastAsia"/>
          <w:sz w:val="28"/>
          <w:szCs w:val="28"/>
        </w:rPr>
        <w:t>40%</w:t>
      </w:r>
      <w:r>
        <w:rPr>
          <w:rFonts w:ascii="Times New Roman" w:eastAsia="仿宋_GB2312" w:hAnsi="Times New Roman" w:cs="仿宋_GB2312" w:hint="eastAsia"/>
          <w:sz w:val="28"/>
          <w:szCs w:val="28"/>
        </w:rPr>
        <w:t>的要求。</w:t>
      </w:r>
    </w:p>
    <w:p w:rsidR="00DD2425" w:rsidRDefault="00DD2425">
      <w:pPr>
        <w:pStyle w:val="a0"/>
        <w:ind w:firstLine="560"/>
        <w:rPr>
          <w:rFonts w:ascii="Times New Roman" w:eastAsia="仿宋_GB2312" w:hAnsi="Times New Roman" w:cs="仿宋_GB2312"/>
          <w:sz w:val="28"/>
          <w:szCs w:val="28"/>
        </w:rPr>
      </w:pPr>
    </w:p>
    <w:p w:rsidR="00DD2425" w:rsidRDefault="00DD2425">
      <w:pPr>
        <w:pStyle w:val="a0"/>
        <w:ind w:firstLine="560"/>
        <w:rPr>
          <w:rFonts w:ascii="Times New Roman" w:eastAsia="仿宋_GB2312" w:hAnsi="Times New Roman" w:cs="仿宋_GB2312"/>
          <w:sz w:val="28"/>
          <w:szCs w:val="28"/>
        </w:rPr>
      </w:pPr>
    </w:p>
    <w:p w:rsidR="00DD2425" w:rsidRDefault="00A470B7">
      <w:pPr>
        <w:numPr>
          <w:ilvl w:val="0"/>
          <w:numId w:val="1"/>
        </w:numPr>
        <w:spacing w:line="360" w:lineRule="auto"/>
        <w:jc w:val="lef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lastRenderedPageBreak/>
        <w:t>土地征收成片开发实施计划</w:t>
      </w:r>
    </w:p>
    <w:p w:rsidR="00DD2425" w:rsidRDefault="00A470B7">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（一）成片开发期限</w:t>
      </w:r>
    </w:p>
    <w:p w:rsidR="00DD2425" w:rsidRDefault="00A470B7">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本成片开发区域的开发期限初步定为</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年，具体为</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年</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rPr>
        <w:t>月至</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年</w:t>
      </w:r>
      <w:r>
        <w:rPr>
          <w:rFonts w:ascii="Times New Roman" w:eastAsia="仿宋_GB2312" w:hAnsi="Times New Roman" w:cs="仿宋_GB2312" w:hint="eastAsia"/>
          <w:sz w:val="28"/>
          <w:szCs w:val="28"/>
        </w:rPr>
        <w:t>12</w:t>
      </w:r>
      <w:r>
        <w:rPr>
          <w:rFonts w:ascii="Times New Roman" w:eastAsia="仿宋_GB2312" w:hAnsi="Times New Roman" w:cs="仿宋_GB2312" w:hint="eastAsia"/>
          <w:sz w:val="28"/>
          <w:szCs w:val="28"/>
        </w:rPr>
        <w:t>月。</w:t>
      </w:r>
    </w:p>
    <w:p w:rsidR="00DD2425" w:rsidRDefault="00A470B7">
      <w:pPr>
        <w:spacing w:line="360" w:lineRule="auto"/>
        <w:ind w:firstLineChars="200" w:firstLine="562"/>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（二）开发时序</w:t>
      </w:r>
    </w:p>
    <w:p w:rsidR="00DD2425" w:rsidRDefault="00A470B7">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统筹考虑征收难度、融资情况、建设计划等因素，综合研究制定拟建项目开发时序及年度实施计划。片区面积为</w:t>
      </w:r>
      <w:r>
        <w:rPr>
          <w:rFonts w:ascii="Times New Roman" w:eastAsia="仿宋_GB2312" w:hAnsi="Times New Roman" w:cs="仿宋_GB2312" w:hint="eastAsia"/>
          <w:sz w:val="28"/>
          <w:szCs w:val="28"/>
        </w:rPr>
        <w:t>6.5812</w:t>
      </w:r>
      <w:r>
        <w:rPr>
          <w:rFonts w:ascii="Times New Roman" w:eastAsia="仿宋_GB2312" w:hAnsi="Times New Roman" w:cs="仿宋_GB2312" w:hint="eastAsia"/>
          <w:sz w:val="28"/>
          <w:szCs w:val="28"/>
        </w:rPr>
        <w:t>公顷，拟安排消防队南侧开发项目，项目申请用地面积为</w:t>
      </w:r>
      <w:r>
        <w:rPr>
          <w:rFonts w:ascii="Times New Roman" w:eastAsia="仿宋_GB2312" w:hAnsi="Times New Roman" w:cs="仿宋_GB2312" w:hint="eastAsia"/>
          <w:sz w:val="28"/>
          <w:szCs w:val="28"/>
        </w:rPr>
        <w:t>1.3016</w:t>
      </w:r>
      <w:r>
        <w:rPr>
          <w:rFonts w:ascii="Times New Roman" w:eastAsia="仿宋_GB2312" w:hAnsi="Times New Roman" w:cs="仿宋_GB2312" w:hint="eastAsia"/>
          <w:sz w:val="28"/>
          <w:szCs w:val="28"/>
        </w:rPr>
        <w:t>公顷，预计一年内完成开发，主要用于商业办公用地、医疗卫生用地。</w:t>
      </w:r>
    </w:p>
    <w:p w:rsidR="00DD2425" w:rsidRDefault="00A470B7">
      <w:pPr>
        <w:pStyle w:val="a4"/>
        <w:spacing w:before="0"/>
        <w:ind w:firstLineChars="500" w:firstLine="1200"/>
        <w:rPr>
          <w:rFonts w:ascii="黑体" w:eastAsia="黑体" w:hAnsi="黑体"/>
          <w:sz w:val="24"/>
          <w:szCs w:val="24"/>
        </w:rPr>
      </w:pPr>
      <w:r>
        <w:rPr>
          <w:rFonts w:ascii="黑体" w:eastAsia="黑体" w:hAnsi="黑体" w:hint="eastAsia"/>
          <w:sz w:val="24"/>
          <w:szCs w:val="24"/>
        </w:rPr>
        <w:t>高新区</w:t>
      </w:r>
      <w:r>
        <w:rPr>
          <w:rFonts w:ascii="黑体" w:eastAsia="黑体" w:hAnsi="黑体" w:hint="eastAsia"/>
          <w:sz w:val="24"/>
          <w:szCs w:val="24"/>
        </w:rPr>
        <w:t>2023</w:t>
      </w:r>
      <w:r>
        <w:rPr>
          <w:rFonts w:ascii="黑体" w:eastAsia="黑体" w:hAnsi="黑体" w:hint="eastAsia"/>
          <w:sz w:val="24"/>
          <w:szCs w:val="24"/>
        </w:rPr>
        <w:t>年度第</w:t>
      </w:r>
      <w:r>
        <w:rPr>
          <w:rFonts w:ascii="黑体" w:eastAsia="黑体" w:hAnsi="黑体" w:hint="eastAsia"/>
          <w:sz w:val="24"/>
          <w:szCs w:val="24"/>
        </w:rPr>
        <w:t>03</w:t>
      </w:r>
      <w:r>
        <w:rPr>
          <w:rFonts w:ascii="黑体" w:eastAsia="黑体" w:hAnsi="黑体" w:hint="eastAsia"/>
          <w:sz w:val="24"/>
          <w:szCs w:val="24"/>
        </w:rPr>
        <w:t>批次开发时序情况统计表</w:t>
      </w:r>
    </w:p>
    <w:p w:rsidR="00DD2425" w:rsidRDefault="00A470B7">
      <w:pPr>
        <w:pStyle w:val="a4"/>
        <w:spacing w:before="0"/>
        <w:ind w:left="102" w:firstLineChars="900" w:firstLine="2160"/>
        <w:jc w:val="right"/>
        <w:rPr>
          <w:rFonts w:ascii="黑体" w:eastAsia="黑体" w:hAnsi="黑体"/>
          <w:sz w:val="24"/>
          <w:szCs w:val="24"/>
        </w:rPr>
      </w:pPr>
      <w:r>
        <w:rPr>
          <w:rFonts w:ascii="黑体" w:eastAsia="黑体" w:hAnsi="黑体" w:hint="eastAsia"/>
          <w:sz w:val="24"/>
          <w:szCs w:val="24"/>
        </w:rPr>
        <w:t xml:space="preserve">                                     </w:t>
      </w:r>
      <w:r>
        <w:rPr>
          <w:rFonts w:ascii="黑体" w:eastAsia="黑体" w:hAnsi="黑体" w:hint="eastAsia"/>
          <w:sz w:val="24"/>
          <w:szCs w:val="24"/>
        </w:rPr>
        <w:t>单位：公顷</w:t>
      </w:r>
    </w:p>
    <w:tbl>
      <w:tblPr>
        <w:tblStyle w:val="TableNormal"/>
        <w:tblW w:w="8979"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098"/>
        <w:gridCol w:w="2627"/>
        <w:gridCol w:w="2627"/>
        <w:gridCol w:w="2627"/>
      </w:tblGrid>
      <w:tr w:rsidR="00DD2425">
        <w:trPr>
          <w:trHeight w:hRule="exact" w:val="567"/>
          <w:jc w:val="center"/>
        </w:trPr>
        <w:tc>
          <w:tcPr>
            <w:tcW w:w="1098" w:type="dxa"/>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序号</w:t>
            </w:r>
          </w:p>
        </w:tc>
        <w:tc>
          <w:tcPr>
            <w:tcW w:w="2627" w:type="dxa"/>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实施年度</w:t>
            </w:r>
          </w:p>
        </w:tc>
        <w:tc>
          <w:tcPr>
            <w:tcW w:w="2627" w:type="dxa"/>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用地面积</w:t>
            </w:r>
          </w:p>
        </w:tc>
        <w:tc>
          <w:tcPr>
            <w:tcW w:w="2627" w:type="dxa"/>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占成片开发范围比例</w:t>
            </w:r>
          </w:p>
        </w:tc>
      </w:tr>
      <w:tr w:rsidR="00DD2425">
        <w:trPr>
          <w:trHeight w:hRule="exact" w:val="567"/>
          <w:jc w:val="center"/>
        </w:trPr>
        <w:tc>
          <w:tcPr>
            <w:tcW w:w="1098" w:type="dxa"/>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1</w:t>
            </w:r>
          </w:p>
        </w:tc>
        <w:tc>
          <w:tcPr>
            <w:tcW w:w="2627" w:type="dxa"/>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lang w:eastAsia="en-US"/>
              </w:rPr>
              <w:t>2023</w:t>
            </w:r>
            <w:r>
              <w:rPr>
                <w:rFonts w:ascii="Times New Roman" w:eastAsia="仿宋_GB2312" w:hAnsi="Times New Roman" w:cs="仿宋_GB2312" w:hint="eastAsia"/>
                <w:sz w:val="24"/>
                <w:szCs w:val="24"/>
                <w:lang w:eastAsia="en-US"/>
              </w:rPr>
              <w:t>年</w:t>
            </w:r>
          </w:p>
        </w:tc>
        <w:tc>
          <w:tcPr>
            <w:tcW w:w="2627" w:type="dxa"/>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sz w:val="24"/>
                <w:szCs w:val="24"/>
                <w:lang w:eastAsia="en-US"/>
              </w:rPr>
              <w:t>1.3016</w:t>
            </w:r>
          </w:p>
        </w:tc>
        <w:tc>
          <w:tcPr>
            <w:tcW w:w="2627" w:type="dxa"/>
            <w:tcBorders>
              <w:tl2br w:val="nil"/>
              <w:tr2bl w:val="nil"/>
            </w:tcBorders>
            <w:vAlign w:val="center"/>
          </w:tcPr>
          <w:p w:rsidR="00DD2425" w:rsidRDefault="00A470B7">
            <w:pPr>
              <w:pStyle w:val="a0"/>
              <w:ind w:firstLineChars="0" w:firstLine="0"/>
              <w:jc w:val="center"/>
              <w:rPr>
                <w:rFonts w:ascii="Times New Roman" w:eastAsia="仿宋_GB2312" w:hAnsi="Times New Roman" w:cs="仿宋_GB2312"/>
                <w:sz w:val="24"/>
                <w:szCs w:val="24"/>
                <w:lang w:eastAsia="en-US"/>
              </w:rPr>
            </w:pPr>
            <w:r>
              <w:rPr>
                <w:rFonts w:ascii="Times New Roman" w:eastAsia="仿宋_GB2312" w:hAnsi="Times New Roman" w:cs="仿宋_GB2312" w:hint="eastAsia"/>
                <w:sz w:val="24"/>
                <w:szCs w:val="24"/>
              </w:rPr>
              <w:t>19.78</w:t>
            </w:r>
            <w:r>
              <w:rPr>
                <w:rFonts w:ascii="Times New Roman" w:eastAsia="仿宋_GB2312" w:hAnsi="Times New Roman" w:cs="仿宋_GB2312" w:hint="eastAsia"/>
                <w:sz w:val="24"/>
                <w:szCs w:val="24"/>
                <w:lang w:eastAsia="en-US"/>
              </w:rPr>
              <w:t>%</w:t>
            </w:r>
          </w:p>
        </w:tc>
      </w:tr>
    </w:tbl>
    <w:p w:rsidR="00DD2425" w:rsidRDefault="00DD2425">
      <w:pPr>
        <w:pStyle w:val="a4"/>
        <w:spacing w:before="0" w:line="360" w:lineRule="auto"/>
        <w:ind w:left="0" w:right="14" w:firstLineChars="200" w:firstLine="544"/>
        <w:rPr>
          <w:rFonts w:ascii="仿宋" w:eastAsia="仿宋" w:hAnsi="仿宋"/>
          <w:color w:val="000000" w:themeColor="text1"/>
          <w:spacing w:val="-4"/>
        </w:rPr>
      </w:pPr>
    </w:p>
    <w:p w:rsidR="00DD2425" w:rsidRDefault="00A470B7">
      <w:pPr>
        <w:numPr>
          <w:ilvl w:val="0"/>
          <w:numId w:val="1"/>
        </w:numPr>
        <w:spacing w:line="360" w:lineRule="auto"/>
        <w:jc w:val="left"/>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结论</w:t>
      </w:r>
      <w:r>
        <w:rPr>
          <w:rFonts w:ascii="Times New Roman" w:eastAsia="仿宋_GB2312" w:hAnsi="Times New Roman" w:cs="仿宋_GB2312" w:hint="eastAsia"/>
          <w:b/>
          <w:bCs/>
          <w:sz w:val="32"/>
          <w:szCs w:val="32"/>
        </w:rPr>
        <w:t xml:space="preserve"> </w:t>
      </w:r>
    </w:p>
    <w:p w:rsidR="00DD2425" w:rsidRDefault="00A470B7">
      <w:pPr>
        <w:pStyle w:val="a0"/>
        <w:ind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高新区</w:t>
      </w:r>
      <w:r>
        <w:rPr>
          <w:rFonts w:ascii="Times New Roman" w:eastAsia="仿宋_GB2312" w:hAnsi="Times New Roman" w:cs="仿宋_GB2312" w:hint="eastAsia"/>
          <w:sz w:val="28"/>
          <w:szCs w:val="28"/>
        </w:rPr>
        <w:t>2023</w:t>
      </w:r>
      <w:r>
        <w:rPr>
          <w:rFonts w:ascii="Times New Roman" w:eastAsia="仿宋_GB2312" w:hAnsi="Times New Roman" w:cs="仿宋_GB2312" w:hint="eastAsia"/>
          <w:sz w:val="28"/>
          <w:szCs w:val="28"/>
        </w:rPr>
        <w:t>年度第</w:t>
      </w:r>
      <w:r>
        <w:rPr>
          <w:rFonts w:ascii="Times New Roman" w:eastAsia="仿宋_GB2312" w:hAnsi="Times New Roman" w:cs="仿宋_GB2312" w:hint="eastAsia"/>
          <w:sz w:val="28"/>
          <w:szCs w:val="28"/>
        </w:rPr>
        <w:t>03</w:t>
      </w:r>
      <w:r>
        <w:rPr>
          <w:rFonts w:ascii="Times New Roman" w:eastAsia="仿宋_GB2312" w:hAnsi="Times New Roman" w:cs="仿宋_GB2312" w:hint="eastAsia"/>
          <w:sz w:val="28"/>
          <w:szCs w:val="28"/>
        </w:rPr>
        <w:t>批次土地征收成片开发方案符合国民经济和社会发展规划、国土空间规划、不占用永久基本农田和生态保护红线，符合自然资源部土地征收“成片开发”的标准、符合省自然资源厅土地征收成片开发的指导意见，做到了保护耕地、维护农民合法权益、节约集约用地、保护生态环境，能够促进经济社会可持续发展，符合高新区发展的长远利益。</w:t>
      </w:r>
    </w:p>
    <w:p w:rsidR="00DD2425" w:rsidRDefault="00DD2425">
      <w:pPr>
        <w:pStyle w:val="a0"/>
        <w:ind w:firstLine="560"/>
        <w:rPr>
          <w:rFonts w:ascii="Times New Roman" w:eastAsia="仿宋_GB2312" w:hAnsi="Times New Roman" w:cs="仿宋_GB2312"/>
          <w:sz w:val="28"/>
          <w:szCs w:val="28"/>
        </w:rPr>
      </w:pPr>
    </w:p>
    <w:sectPr w:rsidR="00DD2425" w:rsidSect="00DD242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0B7" w:rsidRDefault="00A470B7" w:rsidP="00DD2425">
      <w:r>
        <w:separator/>
      </w:r>
    </w:p>
  </w:endnote>
  <w:endnote w:type="continuationSeparator" w:id="1">
    <w:p w:rsidR="00A470B7" w:rsidRDefault="00A470B7" w:rsidP="00DD2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441125137"/>
      <w:docPartObj>
        <w:docPartGallery w:val="AutoText"/>
      </w:docPartObj>
    </w:sdtPr>
    <w:sdtContent>
      <w:p w:rsidR="00DD2425" w:rsidRDefault="00DD2425">
        <w:pPr>
          <w:pStyle w:val="a6"/>
          <w:jc w:val="center"/>
          <w:rPr>
            <w:rFonts w:ascii="Times New Roman" w:hAnsi="Times New Roman" w:cs="Times New Roman"/>
            <w:sz w:val="21"/>
            <w:szCs w:val="21"/>
          </w:rPr>
        </w:pPr>
        <w:r>
          <w:rPr>
            <w:rFonts w:ascii="Times New Roman" w:hAnsi="Times New Roman" w:cs="Times New Roman"/>
            <w:sz w:val="21"/>
            <w:szCs w:val="21"/>
          </w:rPr>
          <w:fldChar w:fldCharType="begin"/>
        </w:r>
        <w:r w:rsidR="00A470B7">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534BE9" w:rsidRPr="00534BE9">
          <w:rPr>
            <w:rFonts w:ascii="Times New Roman" w:hAnsi="Times New Roman" w:cs="Times New Roman"/>
            <w:noProof/>
            <w:sz w:val="21"/>
            <w:szCs w:val="21"/>
            <w:lang w:val="zh-CN"/>
          </w:rPr>
          <w:t>2</w:t>
        </w:r>
        <w:r>
          <w:rPr>
            <w:rFonts w:ascii="Times New Roman" w:hAnsi="Times New Roman" w:cs="Times New Roman"/>
            <w:sz w:val="21"/>
            <w:szCs w:val="21"/>
          </w:rPr>
          <w:fldChar w:fldCharType="end"/>
        </w:r>
      </w:p>
    </w:sdtContent>
  </w:sdt>
  <w:p w:rsidR="00DD2425" w:rsidRDefault="00DD2425">
    <w:pPr>
      <w:pStyle w:val="a6"/>
      <w:rPr>
        <w:rFonts w:ascii="Times New Roman" w:hAnsi="Times New Roman" w:cs="Times New Roman"/>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0B7" w:rsidRDefault="00A470B7" w:rsidP="00DD2425">
      <w:r>
        <w:separator/>
      </w:r>
    </w:p>
  </w:footnote>
  <w:footnote w:type="continuationSeparator" w:id="1">
    <w:p w:rsidR="00A470B7" w:rsidRDefault="00A470B7" w:rsidP="00DD2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4AB331"/>
    <w:multiLevelType w:val="singleLevel"/>
    <w:tmpl w:val="E74AB33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ZkODhhNWFlNzkyYTU5ZDM2YzRkZDdkY2YwMjQyODYifQ=="/>
  </w:docVars>
  <w:rsids>
    <w:rsidRoot w:val="0B134CAE"/>
    <w:rsid w:val="001631EE"/>
    <w:rsid w:val="00275C2A"/>
    <w:rsid w:val="002C2AC0"/>
    <w:rsid w:val="002D4494"/>
    <w:rsid w:val="002E661B"/>
    <w:rsid w:val="002F479E"/>
    <w:rsid w:val="004C1DD8"/>
    <w:rsid w:val="00534BE9"/>
    <w:rsid w:val="00571841"/>
    <w:rsid w:val="00596C2B"/>
    <w:rsid w:val="0071797B"/>
    <w:rsid w:val="00790FF4"/>
    <w:rsid w:val="0082173E"/>
    <w:rsid w:val="008966FD"/>
    <w:rsid w:val="008B47C0"/>
    <w:rsid w:val="00983ABD"/>
    <w:rsid w:val="009B3932"/>
    <w:rsid w:val="00A03E88"/>
    <w:rsid w:val="00A11EB5"/>
    <w:rsid w:val="00A470B7"/>
    <w:rsid w:val="00A7602E"/>
    <w:rsid w:val="00AA4197"/>
    <w:rsid w:val="00AE5B6D"/>
    <w:rsid w:val="00BC16EE"/>
    <w:rsid w:val="00BC36F9"/>
    <w:rsid w:val="00C04142"/>
    <w:rsid w:val="00C70108"/>
    <w:rsid w:val="00CE5517"/>
    <w:rsid w:val="00DD2425"/>
    <w:rsid w:val="00E23E4D"/>
    <w:rsid w:val="00E9067C"/>
    <w:rsid w:val="00EE02DA"/>
    <w:rsid w:val="00F13DE0"/>
    <w:rsid w:val="0B134CAE"/>
    <w:rsid w:val="17877875"/>
    <w:rsid w:val="33C2760A"/>
    <w:rsid w:val="44053316"/>
    <w:rsid w:val="463B4BB4"/>
    <w:rsid w:val="476238A3"/>
    <w:rsid w:val="58BA13D4"/>
    <w:rsid w:val="5C6844FB"/>
    <w:rsid w:val="6AAF0A00"/>
    <w:rsid w:val="705A7660"/>
    <w:rsid w:val="72936BEF"/>
    <w:rsid w:val="770A20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qFormat="1"/>
    <w:lsdException w:name="header" w:semiHidden="0" w:unhideWhenUsed="0"/>
    <w:lsdException w:name="footer" w:semiHidden="0" w:uiPriority="99"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D2425"/>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DD2425"/>
    <w:pPr>
      <w:ind w:firstLineChars="200" w:firstLine="420"/>
    </w:pPr>
    <w:rPr>
      <w:szCs w:val="22"/>
    </w:rPr>
  </w:style>
  <w:style w:type="paragraph" w:styleId="a4">
    <w:name w:val="Body Text"/>
    <w:basedOn w:val="a"/>
    <w:uiPriority w:val="1"/>
    <w:qFormat/>
    <w:rsid w:val="00DD2425"/>
    <w:pPr>
      <w:spacing w:before="15"/>
      <w:ind w:left="101"/>
    </w:pPr>
    <w:rPr>
      <w:rFonts w:ascii="Arial Unicode MS" w:eastAsia="Arial Unicode MS" w:hAnsi="Arial Unicode MS"/>
      <w:sz w:val="28"/>
      <w:szCs w:val="28"/>
    </w:rPr>
  </w:style>
  <w:style w:type="paragraph" w:styleId="a5">
    <w:name w:val="Balloon Text"/>
    <w:basedOn w:val="a"/>
    <w:link w:val="Char"/>
    <w:rsid w:val="00DD2425"/>
    <w:rPr>
      <w:sz w:val="18"/>
      <w:szCs w:val="18"/>
    </w:rPr>
  </w:style>
  <w:style w:type="paragraph" w:styleId="a6">
    <w:name w:val="footer"/>
    <w:basedOn w:val="a"/>
    <w:link w:val="Char0"/>
    <w:uiPriority w:val="99"/>
    <w:rsid w:val="00DD2425"/>
    <w:pPr>
      <w:tabs>
        <w:tab w:val="center" w:pos="4153"/>
        <w:tab w:val="right" w:pos="8306"/>
      </w:tabs>
      <w:snapToGrid w:val="0"/>
      <w:jc w:val="left"/>
    </w:pPr>
    <w:rPr>
      <w:sz w:val="18"/>
      <w:szCs w:val="18"/>
    </w:rPr>
  </w:style>
  <w:style w:type="paragraph" w:styleId="a7">
    <w:name w:val="header"/>
    <w:basedOn w:val="a"/>
    <w:link w:val="Char1"/>
    <w:rsid w:val="00DD2425"/>
    <w:pPr>
      <w:pBdr>
        <w:bottom w:val="single" w:sz="6" w:space="1" w:color="auto"/>
      </w:pBdr>
      <w:tabs>
        <w:tab w:val="center" w:pos="4153"/>
        <w:tab w:val="right" w:pos="8306"/>
      </w:tabs>
      <w:snapToGrid w:val="0"/>
      <w:jc w:val="center"/>
    </w:pPr>
    <w:rPr>
      <w:sz w:val="18"/>
      <w:szCs w:val="18"/>
    </w:rPr>
  </w:style>
  <w:style w:type="table" w:styleId="a8">
    <w:name w:val="Table Grid"/>
    <w:basedOn w:val="a2"/>
    <w:rsid w:val="00DD24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D2425"/>
  </w:style>
  <w:style w:type="table" w:customStyle="1" w:styleId="TableNormal">
    <w:name w:val="Table Normal"/>
    <w:uiPriority w:val="2"/>
    <w:semiHidden/>
    <w:unhideWhenUsed/>
    <w:qFormat/>
    <w:rsid w:val="00DD2425"/>
    <w:pPr>
      <w:widowControl w:val="0"/>
    </w:pPr>
    <w:rPr>
      <w:sz w:val="22"/>
      <w:lang w:eastAsia="en-US"/>
    </w:rPr>
    <w:tblPr>
      <w:tblCellMar>
        <w:top w:w="0" w:type="dxa"/>
        <w:left w:w="0" w:type="dxa"/>
        <w:bottom w:w="0" w:type="dxa"/>
        <w:right w:w="0" w:type="dxa"/>
      </w:tblCellMar>
    </w:tblPr>
  </w:style>
  <w:style w:type="character" w:customStyle="1" w:styleId="Char1">
    <w:name w:val="页眉 Char"/>
    <w:basedOn w:val="a1"/>
    <w:link w:val="a7"/>
    <w:rsid w:val="00DD2425"/>
    <w:rPr>
      <w:rFonts w:asciiTheme="minorHAnsi" w:eastAsiaTheme="minorEastAsia" w:hAnsiTheme="minorHAnsi" w:cstheme="minorBidi"/>
      <w:kern w:val="2"/>
      <w:sz w:val="18"/>
      <w:szCs w:val="18"/>
    </w:rPr>
  </w:style>
  <w:style w:type="character" w:customStyle="1" w:styleId="Char0">
    <w:name w:val="页脚 Char"/>
    <w:basedOn w:val="a1"/>
    <w:link w:val="a6"/>
    <w:uiPriority w:val="99"/>
    <w:rsid w:val="00DD2425"/>
    <w:rPr>
      <w:rFonts w:asciiTheme="minorHAnsi" w:eastAsiaTheme="minorEastAsia" w:hAnsiTheme="minorHAnsi" w:cstheme="minorBidi"/>
      <w:kern w:val="2"/>
      <w:sz w:val="18"/>
      <w:szCs w:val="18"/>
    </w:rPr>
  </w:style>
  <w:style w:type="character" w:customStyle="1" w:styleId="Char">
    <w:name w:val="批注框文本 Char"/>
    <w:basedOn w:val="a1"/>
    <w:link w:val="a5"/>
    <w:rsid w:val="00DD2425"/>
    <w:rPr>
      <w:rFonts w:asciiTheme="minorHAnsi" w:eastAsiaTheme="minorEastAsia" w:hAnsiTheme="minorHAnsi" w:cstheme="minorBidi"/>
      <w:kern w:val="2"/>
      <w:sz w:val="18"/>
      <w:szCs w:val="18"/>
    </w:rPr>
  </w:style>
  <w:style w:type="paragraph" w:customStyle="1" w:styleId="1">
    <w:name w:val="修订1"/>
    <w:hidden/>
    <w:uiPriority w:val="99"/>
    <w:unhideWhenUsed/>
    <w:rsid w:val="00DD2425"/>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336</Words>
  <Characters>1916</Characters>
  <Application>Microsoft Office Word</Application>
  <DocSecurity>0</DocSecurity>
  <Lines>15</Lines>
  <Paragraphs>4</Paragraphs>
  <ScaleCrop>false</ScaleCrop>
  <Company>Microsoft</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山雨可人</dc:creator>
  <cp:lastModifiedBy>AutoBVT</cp:lastModifiedBy>
  <cp:revision>2</cp:revision>
  <cp:lastPrinted>2023-06-05T15:01:00Z</cp:lastPrinted>
  <dcterms:created xsi:type="dcterms:W3CDTF">2023-06-06T05:41:00Z</dcterms:created>
  <dcterms:modified xsi:type="dcterms:W3CDTF">2023-06-06T05:41:00Z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507FC530DD5F40E5976FEAE3246534DA_11</vt:lpwstr>
  </property>
</Properties>
</file>