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08" w:rsidRDefault="00431D08">
      <w:pPr>
        <w:spacing w:line="600" w:lineRule="exact"/>
        <w:rPr>
          <w:rFonts w:ascii="仿宋_GB2312" w:eastAsia="仿宋_GB2312"/>
          <w:sz w:val="32"/>
          <w:szCs w:val="32"/>
        </w:rPr>
      </w:pPr>
    </w:p>
    <w:p w:rsidR="00431D08" w:rsidRDefault="00F214D9">
      <w:pPr>
        <w:widowControl/>
        <w:spacing w:line="330" w:lineRule="atLeast"/>
        <w:jc w:val="center"/>
        <w:rPr>
          <w:rFonts w:ascii="仿宋" w:eastAsia="仿宋" w:hAnsi="仿宋"/>
          <w:b/>
          <w:bCs/>
          <w:color w:val="000000"/>
          <w:sz w:val="36"/>
          <w:szCs w:val="36"/>
        </w:rPr>
      </w:pPr>
      <w:r>
        <w:rPr>
          <w:rFonts w:ascii="仿宋" w:eastAsia="仿宋" w:hAnsi="仿宋" w:cs="仿宋" w:hint="eastAsia"/>
          <w:b/>
          <w:bCs/>
          <w:sz w:val="36"/>
          <w:szCs w:val="36"/>
        </w:rPr>
        <w:t>高新区投资促进局</w:t>
      </w:r>
      <w:r>
        <w:rPr>
          <w:rFonts w:ascii="仿宋" w:eastAsia="仿宋" w:hAnsi="仿宋" w:cs="仿宋"/>
          <w:b/>
          <w:bCs/>
          <w:color w:val="000000"/>
          <w:kern w:val="0"/>
          <w:sz w:val="36"/>
          <w:szCs w:val="36"/>
        </w:rPr>
        <w:t>202</w:t>
      </w:r>
      <w:r>
        <w:rPr>
          <w:rFonts w:ascii="仿宋" w:eastAsia="仿宋" w:hAnsi="仿宋" w:cs="仿宋" w:hint="eastAsia"/>
          <w:b/>
          <w:bCs/>
          <w:color w:val="000000"/>
          <w:kern w:val="0"/>
          <w:sz w:val="36"/>
          <w:szCs w:val="36"/>
        </w:rPr>
        <w:t>3年部门预算</w:t>
      </w:r>
    </w:p>
    <w:p w:rsidR="00431D08" w:rsidRDefault="00F214D9">
      <w:pPr>
        <w:widowControl/>
        <w:spacing w:line="330" w:lineRule="atLeast"/>
        <w:jc w:val="left"/>
        <w:rPr>
          <w:rFonts w:ascii="Verdana" w:eastAsia="仿宋" w:hAnsi="Verdana"/>
          <w:color w:val="000000"/>
          <w:kern w:val="0"/>
          <w:sz w:val="30"/>
          <w:szCs w:val="30"/>
        </w:rPr>
      </w:pPr>
      <w:r>
        <w:rPr>
          <w:rFonts w:ascii="Verdana" w:eastAsia="仿宋" w:hAnsi="Verdana"/>
          <w:color w:val="000000"/>
          <w:kern w:val="0"/>
          <w:sz w:val="30"/>
          <w:szCs w:val="30"/>
        </w:rPr>
        <w:t> </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第一部分</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部门概况</w:t>
      </w:r>
    </w:p>
    <w:p w:rsidR="00431D08" w:rsidRDefault="00F214D9">
      <w:pPr>
        <w:rPr>
          <w:rFonts w:ascii="仿宋" w:eastAsia="仿宋" w:hAnsi="仿宋" w:cs="仿宋"/>
          <w:sz w:val="32"/>
          <w:szCs w:val="32"/>
        </w:rPr>
      </w:pPr>
      <w:r>
        <w:rPr>
          <w:rFonts w:ascii="仿宋" w:eastAsia="仿宋" w:hAnsi="仿宋" w:cs="仿宋" w:hint="eastAsia"/>
          <w:sz w:val="32"/>
          <w:szCs w:val="32"/>
        </w:rPr>
        <w:t>一、主要职责</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一）贯彻落实国家、省、市关于对外开放、对内合作等方面的战略部署、方针政策和法律法规，以及高新区党工委、管委会的招商引资工作部署和要求，承接省、市各级政府下达给高新区管委会的各项招商引资任务指标，承担指导招商公司开展招商引资，以及统筹高新区对外开放、经贸合作、商业流通、外事管理、贸易促进等相关业务管理工作。</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二)负责指导招商公司开展各项招商引资工作，包括但不限于拟订内资、外资招商计划，开展产业调研，拟订、兑现招商政策，组织招商活动，搭建招商网络，开拓项目资源，跟踪洽谈项目，签订项目协议，推进项目落地等，协调各级部门、各类资源指导协助招商公司完成各项招商引资任务指标，并对招商公司工作完成情况进行监督管理和绩效考核。</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三）负责高新区对外开放和经济合作相关工作。研究拟订高新区对内、对外开放和经济合作的发展战略，指导、协调、促进国际、国内省市之问的经济合作交流。规范对外开放经营秩序，组织、指导和管理企业对外开放，监测、分析对外开放经济运行情况，以及对外开放行政审批和外商投</w:t>
      </w:r>
      <w:r>
        <w:rPr>
          <w:rFonts w:ascii="仿宋" w:eastAsia="仿宋" w:hAnsi="仿宋" w:cs="仿宋" w:hint="eastAsia"/>
          <w:sz w:val="32"/>
          <w:szCs w:val="32"/>
        </w:rPr>
        <w:lastRenderedPageBreak/>
        <w:t>资企业事中事后监管等相关工作。</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（四）负责高新区外贸管理相关工作。推进高新区外贸进出口发展，指导协调企业开展外贸进出口业务；推进高新区电子商务与跨境电</w:t>
      </w:r>
      <w:proofErr w:type="gramStart"/>
      <w:r>
        <w:rPr>
          <w:rFonts w:ascii="仿宋" w:eastAsia="仿宋" w:hAnsi="仿宋" w:cs="仿宋" w:hint="eastAsia"/>
          <w:sz w:val="32"/>
          <w:szCs w:val="32"/>
        </w:rPr>
        <w:t>商产业</w:t>
      </w:r>
      <w:proofErr w:type="gramEnd"/>
      <w:r>
        <w:rPr>
          <w:rFonts w:ascii="仿宋" w:eastAsia="仿宋" w:hAnsi="仿宋" w:cs="仿宋" w:hint="eastAsia"/>
          <w:sz w:val="32"/>
          <w:szCs w:val="32"/>
        </w:rPr>
        <w:t>发展；推进高新区服务贸易产业发展研究，推广新型贸易方式，全面推动国家数字服务出口基地建设；统计外贸进出口、跨境电商、服务贸易等运行数据，研究分析并监测其发展情況；执行外贸出口、服务贸易、跨境电商等各级奖励政策，开展政策兑现的审核和拨付工作。</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（五）负责高新区商贸流通及市场运行管理相关工作。推进高新区商贸流通工作，组织、协调城乡商贸市场体系建设和发展;推进商贸流通领域对外开放工作；承担“菜篮子”工程建设以及“老宇号” 等商贸品牌建设和保护工作。推进高新区市场运行管理工作，监测分析市场运行、商品供求状况，进行预测预警和信息引导；对旧货流通及商业特许经营、直销等进行监督管理。推进高新区整顿和规范市场经济秩序工作，推进行业信用建设、安全生产建设以及食品安全工作。指导商贸流通、市场运行方面的行政审批以及商务行政执法工作。</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（六）负责高新区外事管理相关工作。</w:t>
      </w:r>
      <w:proofErr w:type="gramStart"/>
      <w:r>
        <w:rPr>
          <w:rFonts w:ascii="仿宋" w:eastAsia="仿宋" w:hAnsi="仿宋" w:cs="仿宋" w:hint="eastAsia"/>
          <w:sz w:val="32"/>
          <w:szCs w:val="32"/>
        </w:rPr>
        <w:t>超草高</w:t>
      </w:r>
      <w:proofErr w:type="gramEnd"/>
      <w:r>
        <w:rPr>
          <w:rFonts w:ascii="仿宋" w:eastAsia="仿宋" w:hAnsi="仿宋" w:cs="仿宋" w:hint="eastAsia"/>
          <w:sz w:val="32"/>
          <w:szCs w:val="32"/>
        </w:rPr>
        <w:t>新区重要外事规定，拟订并组织实施外事工作管理制度；拟订全区因公出国（境）计划，归口管理全区因公出国及赴港澳手续办</w:t>
      </w:r>
      <w:r>
        <w:rPr>
          <w:rFonts w:ascii="仿宋" w:eastAsia="仿宋" w:hAnsi="仿宋" w:cs="仿宋" w:hint="eastAsia"/>
          <w:sz w:val="32"/>
          <w:szCs w:val="32"/>
        </w:rPr>
        <w:lastRenderedPageBreak/>
        <w:t>理等工作;组织召开高新区外事管理委员会会议；受理、指导全区外国人来华邀请函和 APEC 商务旅行卡的申办、审核工作；协调我区重大外事、涉外活动及翻译相关工作，处理或协助市外办等相关部门处理重要的涉外事务等。</w:t>
      </w:r>
    </w:p>
    <w:p w:rsidR="00431D08" w:rsidRDefault="00F214D9">
      <w:pPr>
        <w:ind w:firstLineChars="200" w:firstLine="640"/>
        <w:rPr>
          <w:rFonts w:ascii="仿宋" w:eastAsia="仿宋" w:hAnsi="仿宋" w:cs="仿宋"/>
          <w:sz w:val="32"/>
          <w:szCs w:val="32"/>
        </w:rPr>
      </w:pPr>
      <w:r>
        <w:rPr>
          <w:rFonts w:ascii="仿宋" w:eastAsia="仿宋" w:hAnsi="仿宋" w:cs="仿宋" w:hint="eastAsia"/>
          <w:sz w:val="32"/>
          <w:szCs w:val="32"/>
        </w:rPr>
        <w:t>（七）负责指导协调高新区贸促会、对外友好协会、行业协会、企业商会等经济贸易促进组织机构的相关工作，为企业提供优质专业服务。负责政府指令性展览会议、经贸会议、培训活动的企业组织及布展会务等相关工作。负责建立政府、社会机构与企业间的联动服务机制，考察、走访和调研企业，为企业提供专业化服务，协调解决企业运营中存在的问题。</w:t>
      </w:r>
    </w:p>
    <w:p w:rsidR="00431D08" w:rsidRDefault="00F214D9">
      <w:pPr>
        <w:ind w:firstLineChars="200" w:firstLine="640"/>
        <w:rPr>
          <w:rFonts w:ascii="仿宋" w:eastAsia="仿宋" w:hAnsi="仿宋" w:cs="仿宋"/>
          <w:sz w:val="32"/>
          <w:szCs w:val="32"/>
        </w:rPr>
      </w:pPr>
      <w:r>
        <w:rPr>
          <w:rFonts w:ascii="仿宋" w:eastAsia="仿宋" w:hAnsi="仿宋" w:cs="仿宋" w:hint="eastAsia"/>
          <w:sz w:val="32"/>
          <w:szCs w:val="32"/>
        </w:rPr>
        <w:t>(八）负责完成区党工委、管委会交办的其他任务。</w:t>
      </w:r>
    </w:p>
    <w:p w:rsidR="00431D08" w:rsidRDefault="00F214D9">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二、部门预算单位构成</w:t>
      </w:r>
    </w:p>
    <w:p w:rsidR="00431D08" w:rsidRDefault="00F214D9">
      <w:pPr>
        <w:ind w:firstLineChars="200" w:firstLine="640"/>
        <w:rPr>
          <w:rFonts w:ascii="仿宋" w:eastAsia="仿宋" w:hAnsi="仿宋" w:cs="仿宋"/>
          <w:color w:val="000000"/>
          <w:kern w:val="0"/>
          <w:sz w:val="32"/>
          <w:szCs w:val="32"/>
        </w:rPr>
      </w:pPr>
      <w:r>
        <w:rPr>
          <w:rFonts w:ascii="仿宋" w:eastAsia="仿宋" w:hAnsi="仿宋" w:cs="仿宋" w:hint="eastAsia"/>
          <w:sz w:val="32"/>
          <w:szCs w:val="32"/>
        </w:rPr>
        <w:t>按照综合预算的原则，本部门所有收入和支出均纳入部门预算管理，本部门中，行政单位1家，事业单位1家，具体包括：大连高新技术产业园区投资促进局（本级），大连高新技术产业园区投资促进服务中心。</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第二部分</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部门预算情况说明</w:t>
      </w:r>
    </w:p>
    <w:p w:rsidR="00431D08" w:rsidRDefault="00F214D9">
      <w:pPr>
        <w:widowControl/>
        <w:spacing w:line="560" w:lineRule="exact"/>
        <w:ind w:firstLineChars="200" w:firstLine="640"/>
        <w:jc w:val="left"/>
        <w:rPr>
          <w:rFonts w:ascii="仿宋" w:eastAsia="仿宋" w:hAnsi="仿宋"/>
          <w:color w:val="000000"/>
          <w:sz w:val="32"/>
          <w:szCs w:val="32"/>
        </w:rPr>
      </w:pPr>
      <w:r>
        <w:rPr>
          <w:rFonts w:ascii="仿宋" w:eastAsia="仿宋" w:hAnsi="仿宋" w:cs="仿宋" w:hint="eastAsia"/>
          <w:color w:val="000000"/>
          <w:kern w:val="0"/>
          <w:sz w:val="32"/>
          <w:szCs w:val="32"/>
        </w:rPr>
        <w:t>一、总体说明</w:t>
      </w:r>
    </w:p>
    <w:p w:rsidR="00431D08" w:rsidRDefault="00F214D9">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rPr>
        <w:t>按照综合预算的原则，本部门所有收入和支出均纳入部门预算管理。收入包括：财政拨款收入1910.64万元，其中包括一般公共预算拨款收入1844.82万元，上年结转结余65.82万元；支出包括：工资福利和对个人家庭补助支出</w:t>
      </w:r>
      <w:r>
        <w:rPr>
          <w:rFonts w:ascii="仿宋" w:eastAsia="仿宋" w:hAnsi="仿宋" w:cs="仿宋" w:hint="eastAsia"/>
          <w:color w:val="000000"/>
          <w:kern w:val="0"/>
          <w:sz w:val="32"/>
          <w:szCs w:val="32"/>
        </w:rPr>
        <w:lastRenderedPageBreak/>
        <w:t>608.23万元，</w:t>
      </w:r>
      <w:r>
        <w:rPr>
          <w:rFonts w:ascii="仿宋" w:eastAsia="仿宋" w:hAnsi="仿宋" w:cs="仿宋" w:hint="eastAsia"/>
          <w:sz w:val="32"/>
          <w:szCs w:val="32"/>
        </w:rPr>
        <w:t>商品和服务支出669.61万元，对企业补助632.8万元，其中专项经费1277.95万元。</w:t>
      </w:r>
      <w:r>
        <w:rPr>
          <w:rFonts w:ascii="仿宋" w:eastAsia="仿宋" w:hAnsi="仿宋" w:cs="仿宋" w:hint="eastAsia"/>
          <w:color w:val="000000"/>
          <w:kern w:val="0"/>
          <w:sz w:val="32"/>
          <w:szCs w:val="32"/>
        </w:rPr>
        <w:t>全部为一般公共预算收支，无政府性基金预算收支，无国有资本经营预算收支。比</w:t>
      </w:r>
      <w:r>
        <w:rPr>
          <w:rFonts w:ascii="仿宋" w:eastAsia="仿宋" w:hAnsi="仿宋" w:cs="仿宋"/>
          <w:color w:val="000000"/>
          <w:kern w:val="0"/>
          <w:sz w:val="32"/>
          <w:szCs w:val="32"/>
        </w:rPr>
        <w:t>20</w:t>
      </w:r>
      <w:r>
        <w:rPr>
          <w:rFonts w:ascii="仿宋" w:eastAsia="仿宋" w:hAnsi="仿宋" w:cs="仿宋" w:hint="eastAsia"/>
          <w:color w:val="000000"/>
          <w:kern w:val="0"/>
          <w:sz w:val="32"/>
          <w:szCs w:val="32"/>
        </w:rPr>
        <w:t>22年预算数减少24326.17万元，其中工资福利和对个人家庭补助支出减少257.29万元，</w:t>
      </w:r>
      <w:r>
        <w:rPr>
          <w:rFonts w:ascii="仿宋" w:eastAsia="仿宋" w:hAnsi="仿宋" w:cs="仿宋" w:hint="eastAsia"/>
          <w:sz w:val="32"/>
          <w:szCs w:val="32"/>
        </w:rPr>
        <w:t>商品和服务支出</w:t>
      </w:r>
      <w:r>
        <w:rPr>
          <w:rFonts w:ascii="仿宋" w:eastAsia="仿宋" w:hAnsi="仿宋" w:cs="仿宋" w:hint="eastAsia"/>
          <w:color w:val="000000"/>
          <w:kern w:val="0"/>
          <w:sz w:val="32"/>
          <w:szCs w:val="32"/>
        </w:rPr>
        <w:t>减少</w:t>
      </w:r>
      <w:r w:rsidR="00826BF3">
        <w:rPr>
          <w:rFonts w:ascii="仿宋" w:eastAsia="仿宋" w:hAnsi="仿宋" w:cs="仿宋" w:hint="eastAsia"/>
          <w:sz w:val="32"/>
          <w:szCs w:val="32"/>
        </w:rPr>
        <w:t>7773.78</w:t>
      </w:r>
      <w:r>
        <w:rPr>
          <w:rFonts w:ascii="仿宋" w:eastAsia="仿宋" w:hAnsi="仿宋" w:cs="仿宋" w:hint="eastAsia"/>
          <w:sz w:val="32"/>
          <w:szCs w:val="32"/>
        </w:rPr>
        <w:t>万元</w:t>
      </w:r>
      <w:r w:rsidR="00826BF3">
        <w:rPr>
          <w:rFonts w:ascii="仿宋" w:eastAsia="仿宋" w:hAnsi="仿宋" w:cs="仿宋" w:hint="eastAsia"/>
          <w:sz w:val="32"/>
          <w:szCs w:val="32"/>
        </w:rPr>
        <w:t>,企业补助减少16295.1万元</w:t>
      </w:r>
      <w:bookmarkStart w:id="0" w:name="_GoBack"/>
      <w:bookmarkEnd w:id="0"/>
      <w:r>
        <w:rPr>
          <w:rFonts w:ascii="仿宋" w:eastAsia="仿宋" w:hAnsi="仿宋" w:cs="仿宋" w:hint="eastAsia"/>
          <w:sz w:val="32"/>
          <w:szCs w:val="32"/>
        </w:rPr>
        <w:t>。</w:t>
      </w:r>
    </w:p>
    <w:p w:rsidR="00431D08" w:rsidRDefault="00F214D9">
      <w:pPr>
        <w:widowControl/>
        <w:spacing w:line="560" w:lineRule="exact"/>
        <w:ind w:firstLineChars="200" w:firstLine="640"/>
        <w:jc w:val="left"/>
        <w:rPr>
          <w:rFonts w:ascii="仿宋" w:eastAsia="仿宋" w:hAnsi="仿宋"/>
          <w:color w:val="000000"/>
          <w:sz w:val="32"/>
          <w:szCs w:val="32"/>
        </w:rPr>
      </w:pPr>
      <w:r>
        <w:rPr>
          <w:rFonts w:ascii="仿宋" w:eastAsia="仿宋" w:hAnsi="仿宋" w:cs="仿宋" w:hint="eastAsia"/>
          <w:color w:val="000000"/>
          <w:kern w:val="0"/>
          <w:sz w:val="32"/>
          <w:szCs w:val="32"/>
        </w:rPr>
        <w:t>二、“三公”经费预算情况说明</w:t>
      </w:r>
    </w:p>
    <w:p w:rsidR="00431D08" w:rsidRDefault="00F214D9">
      <w:pPr>
        <w:spacing w:line="560" w:lineRule="exact"/>
        <w:ind w:firstLineChars="200" w:firstLine="600"/>
        <w:rPr>
          <w:rFonts w:ascii="仿宋" w:eastAsia="仿宋" w:hAnsi="仿宋" w:cs="仿宋"/>
          <w:sz w:val="32"/>
          <w:szCs w:val="32"/>
        </w:rPr>
      </w:pPr>
      <w:r>
        <w:rPr>
          <w:rFonts w:ascii="仿宋" w:eastAsia="仿宋" w:hAnsi="仿宋" w:hint="eastAsia"/>
          <w:sz w:val="30"/>
          <w:szCs w:val="30"/>
        </w:rPr>
        <w:t>无“三公”经费支出</w:t>
      </w:r>
      <w:r>
        <w:rPr>
          <w:rFonts w:ascii="仿宋" w:eastAsia="仿宋" w:hAnsi="仿宋" w:cs="仿宋" w:hint="eastAsia"/>
          <w:sz w:val="30"/>
          <w:szCs w:val="30"/>
        </w:rPr>
        <w:t>。</w:t>
      </w:r>
      <w:r>
        <w:rPr>
          <w:rFonts w:ascii="仿宋" w:eastAsia="仿宋" w:hAnsi="仿宋" w:cs="仿宋" w:hint="eastAsia"/>
          <w:sz w:val="32"/>
          <w:szCs w:val="32"/>
        </w:rPr>
        <w:t>主要是按照中央及市委、市政府关于厉行节约、改进工作作风、密切联系群众“八项规定”等有关要求，严格控制“三公”经费支出。</w:t>
      </w:r>
    </w:p>
    <w:p w:rsidR="00431D08" w:rsidRDefault="00F214D9">
      <w:pPr>
        <w:widowControl/>
        <w:spacing w:line="560" w:lineRule="exact"/>
        <w:ind w:firstLineChars="200" w:firstLine="640"/>
        <w:jc w:val="left"/>
        <w:rPr>
          <w:rFonts w:ascii="仿宋" w:eastAsia="仿宋" w:hAnsi="仿宋"/>
          <w:color w:val="000000"/>
          <w:sz w:val="32"/>
          <w:szCs w:val="32"/>
        </w:rPr>
      </w:pPr>
      <w:r>
        <w:rPr>
          <w:rFonts w:ascii="仿宋" w:eastAsia="仿宋" w:hAnsi="仿宋" w:cs="仿宋" w:hint="eastAsia"/>
          <w:color w:val="000000"/>
          <w:kern w:val="0"/>
          <w:sz w:val="32"/>
          <w:szCs w:val="32"/>
        </w:rPr>
        <w:t>三、机关运行经费安排情况说明</w:t>
      </w:r>
    </w:p>
    <w:p w:rsidR="00431D08" w:rsidRDefault="00F214D9">
      <w:pPr>
        <w:widowControl/>
        <w:spacing w:line="330" w:lineRule="atLeast"/>
        <w:ind w:firstLineChars="200" w:firstLine="640"/>
        <w:jc w:val="left"/>
        <w:rPr>
          <w:rFonts w:ascii="仿宋" w:eastAsia="仿宋" w:hAnsi="仿宋"/>
          <w:color w:val="000000"/>
          <w:sz w:val="30"/>
          <w:szCs w:val="30"/>
        </w:rPr>
      </w:pPr>
      <w:r>
        <w:rPr>
          <w:rFonts w:ascii="仿宋" w:eastAsia="仿宋" w:hAnsi="仿宋" w:cs="仿宋" w:hint="eastAsia"/>
          <w:color w:val="000000"/>
          <w:kern w:val="0"/>
          <w:sz w:val="32"/>
          <w:szCs w:val="32"/>
        </w:rPr>
        <w:t>机关运行经费包括定额公用经费</w:t>
      </w:r>
      <w:r w:rsidR="006A4FD7">
        <w:rPr>
          <w:rFonts w:ascii="仿宋" w:eastAsia="仿宋" w:hAnsi="仿宋" w:cs="仿宋" w:hint="eastAsia"/>
          <w:color w:val="000000"/>
          <w:kern w:val="0"/>
          <w:sz w:val="32"/>
          <w:szCs w:val="32"/>
        </w:rPr>
        <w:t>12.55</w:t>
      </w:r>
      <w:r>
        <w:rPr>
          <w:rFonts w:ascii="仿宋" w:eastAsia="仿宋" w:hAnsi="仿宋" w:cs="仿宋" w:hint="eastAsia"/>
          <w:color w:val="000000"/>
          <w:kern w:val="0"/>
          <w:sz w:val="32"/>
          <w:szCs w:val="32"/>
        </w:rPr>
        <w:t>万元。</w:t>
      </w:r>
      <w:r>
        <w:rPr>
          <w:rFonts w:ascii="仿宋" w:eastAsia="仿宋" w:hAnsi="仿宋" w:cs="仿宋" w:hint="eastAsia"/>
          <w:color w:val="000000"/>
          <w:kern w:val="0"/>
          <w:sz w:val="30"/>
          <w:szCs w:val="30"/>
        </w:rPr>
        <w:t>比去年增加</w:t>
      </w:r>
      <w:r w:rsidR="00826BF3">
        <w:rPr>
          <w:rFonts w:ascii="仿宋" w:eastAsia="仿宋" w:hAnsi="仿宋" w:cs="仿宋" w:hint="eastAsia"/>
          <w:color w:val="000000"/>
          <w:kern w:val="0"/>
          <w:sz w:val="30"/>
          <w:szCs w:val="30"/>
        </w:rPr>
        <w:t>0.15</w:t>
      </w:r>
      <w:r>
        <w:rPr>
          <w:rFonts w:ascii="仿宋" w:eastAsia="仿宋" w:hAnsi="仿宋" w:cs="仿宋" w:hint="eastAsia"/>
          <w:color w:val="000000"/>
          <w:kern w:val="0"/>
          <w:sz w:val="30"/>
          <w:szCs w:val="30"/>
        </w:rPr>
        <w:t>万元。主要是机构改革后的人员调整。</w:t>
      </w:r>
    </w:p>
    <w:p w:rsidR="00431D08" w:rsidRDefault="00F214D9">
      <w:pPr>
        <w:widowControl/>
        <w:spacing w:line="560" w:lineRule="exact"/>
        <w:ind w:firstLineChars="200" w:firstLine="640"/>
        <w:jc w:val="left"/>
        <w:rPr>
          <w:rFonts w:ascii="仿宋" w:eastAsia="仿宋" w:hAnsi="仿宋"/>
          <w:color w:val="000000"/>
          <w:sz w:val="32"/>
          <w:szCs w:val="32"/>
        </w:rPr>
      </w:pPr>
      <w:r>
        <w:rPr>
          <w:rFonts w:ascii="仿宋" w:eastAsia="仿宋" w:hAnsi="仿宋" w:cs="仿宋" w:hint="eastAsia"/>
          <w:color w:val="000000"/>
          <w:kern w:val="0"/>
          <w:sz w:val="32"/>
          <w:szCs w:val="32"/>
        </w:rPr>
        <w:t>四、政府采购情况说明</w:t>
      </w:r>
    </w:p>
    <w:p w:rsidR="00431D08" w:rsidRDefault="00F214D9">
      <w:pPr>
        <w:widowControl/>
        <w:spacing w:line="330" w:lineRule="atLeas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无政府采购事项。</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五、政府性基金收支预算情况</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无政府性基金预算收支。</w:t>
      </w:r>
    </w:p>
    <w:p w:rsidR="00431D08" w:rsidRDefault="00F214D9">
      <w:pPr>
        <w:spacing w:line="560" w:lineRule="exact"/>
        <w:ind w:firstLineChars="200" w:firstLine="640"/>
        <w:rPr>
          <w:rFonts w:ascii="仿宋" w:eastAsia="仿宋" w:hAnsi="仿宋"/>
          <w:sz w:val="32"/>
          <w:szCs w:val="32"/>
        </w:rPr>
      </w:pPr>
      <w:r>
        <w:rPr>
          <w:rFonts w:ascii="仿宋" w:eastAsia="仿宋" w:hAnsi="仿宋" w:hint="eastAsia"/>
          <w:sz w:val="32"/>
          <w:szCs w:val="32"/>
        </w:rPr>
        <w:t>六、国有资产占有使用情况说明</w:t>
      </w:r>
    </w:p>
    <w:p w:rsidR="00431D08" w:rsidRDefault="00F214D9">
      <w:pPr>
        <w:widowControl/>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国有资产占有使用情况说明为：截至2022年12月31日，部门（单位）共有车辆0辆；单位价值50万元（含）以上通用设备1台（套）；单位价值100万元以上专用设备0台（套）。</w:t>
      </w:r>
    </w:p>
    <w:p w:rsidR="00431D08" w:rsidRDefault="00F214D9">
      <w:pPr>
        <w:widowControl/>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七、预算绩效管理情况</w:t>
      </w:r>
    </w:p>
    <w:p w:rsidR="00431D08" w:rsidRDefault="00F214D9">
      <w:pPr>
        <w:widowControl/>
        <w:spacing w:line="560" w:lineRule="exact"/>
        <w:ind w:firstLineChars="200" w:firstLine="640"/>
        <w:jc w:val="left"/>
        <w:rPr>
          <w:rFonts w:ascii="仿宋" w:eastAsia="仿宋" w:hAnsi="仿宋" w:cs="仿宋"/>
          <w:kern w:val="0"/>
          <w:sz w:val="32"/>
          <w:szCs w:val="32"/>
        </w:rPr>
      </w:pPr>
      <w:r>
        <w:rPr>
          <w:rFonts w:ascii="仿宋" w:eastAsia="仿宋" w:hAnsi="仿宋" w:cs="仿宋"/>
          <w:kern w:val="0"/>
          <w:sz w:val="32"/>
          <w:szCs w:val="32"/>
        </w:rPr>
        <w:lastRenderedPageBreak/>
        <w:t>20</w:t>
      </w:r>
      <w:r>
        <w:rPr>
          <w:rFonts w:ascii="仿宋" w:eastAsia="仿宋" w:hAnsi="仿宋" w:cs="仿宋" w:hint="eastAsia"/>
          <w:kern w:val="0"/>
          <w:sz w:val="32"/>
          <w:szCs w:val="32"/>
        </w:rPr>
        <w:t>23年，按照“先有绩效，后有预算”原则，本部门共计编制绩效目标6个，预算金额1028.13万元，占项目支出预算比重</w:t>
      </w:r>
      <w:r>
        <w:rPr>
          <w:rFonts w:ascii="仿宋" w:eastAsia="仿宋" w:hAnsi="仿宋" w:cs="仿宋"/>
          <w:kern w:val="0"/>
          <w:sz w:val="32"/>
          <w:szCs w:val="32"/>
        </w:rPr>
        <w:t>100%</w:t>
      </w:r>
      <w:r>
        <w:rPr>
          <w:rFonts w:ascii="仿宋" w:eastAsia="仿宋" w:hAnsi="仿宋" w:cs="仿宋" w:hint="eastAsia"/>
          <w:kern w:val="0"/>
          <w:sz w:val="32"/>
          <w:szCs w:val="32"/>
        </w:rPr>
        <w:t>。</w:t>
      </w:r>
    </w:p>
    <w:p w:rsidR="00431D08" w:rsidRDefault="00F214D9">
      <w:pPr>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八、大连市高新区商业规划经费预算情况</w:t>
      </w:r>
    </w:p>
    <w:p w:rsidR="00431D08" w:rsidRDefault="00F214D9">
      <w:pPr>
        <w:rPr>
          <w:rFonts w:ascii="仿宋" w:eastAsia="仿宋" w:hAnsi="仿宋" w:cs="仿宋"/>
          <w:sz w:val="32"/>
          <w:szCs w:val="32"/>
        </w:rPr>
      </w:pPr>
      <w:r>
        <w:rPr>
          <w:rFonts w:ascii="仿宋" w:eastAsia="仿宋" w:hAnsi="仿宋" w:hint="eastAsia"/>
          <w:bCs/>
          <w:sz w:val="32"/>
          <w:szCs w:val="32"/>
        </w:rPr>
        <w:t xml:space="preserve">     </w:t>
      </w:r>
      <w:r>
        <w:rPr>
          <w:rFonts w:ascii="仿宋" w:eastAsia="仿宋" w:hAnsi="仿宋" w:cs="仿宋" w:hint="eastAsia"/>
          <w:sz w:val="32"/>
          <w:szCs w:val="32"/>
        </w:rPr>
        <w:t>1.项目概述</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为促进高新区商业结构升级，满足高新区人民日益增长的美好生活需要，进一步带动高新区</w:t>
      </w:r>
      <w:proofErr w:type="gramStart"/>
      <w:r>
        <w:rPr>
          <w:rFonts w:ascii="仿宋" w:eastAsia="仿宋" w:hAnsi="仿宋" w:cs="仿宋" w:hint="eastAsia"/>
          <w:sz w:val="32"/>
          <w:szCs w:val="32"/>
        </w:rPr>
        <w:t>夜经济</w:t>
      </w:r>
      <w:proofErr w:type="gramEnd"/>
      <w:r>
        <w:rPr>
          <w:rFonts w:ascii="仿宋" w:eastAsia="仿宋" w:hAnsi="仿宋" w:cs="仿宋" w:hint="eastAsia"/>
          <w:sz w:val="32"/>
          <w:szCs w:val="32"/>
        </w:rPr>
        <w:t>发展，拟结合大连市统一安排和高新区实际情况</w:t>
      </w:r>
      <w:proofErr w:type="gramStart"/>
      <w:r>
        <w:rPr>
          <w:rFonts w:ascii="仿宋" w:eastAsia="仿宋" w:hAnsi="仿宋" w:cs="仿宋" w:hint="eastAsia"/>
          <w:sz w:val="32"/>
          <w:szCs w:val="32"/>
        </w:rPr>
        <w:t>编制高</w:t>
      </w:r>
      <w:proofErr w:type="gramEnd"/>
      <w:r>
        <w:rPr>
          <w:rFonts w:ascii="仿宋" w:eastAsia="仿宋" w:hAnsi="仿宋" w:cs="仿宋" w:hint="eastAsia"/>
          <w:sz w:val="32"/>
          <w:szCs w:val="32"/>
        </w:rPr>
        <w:t>新区商业规划。通过编制商业规划，首先有助于科学谋划高新区整体商业布局，为今后的各类商业</w:t>
      </w:r>
      <w:proofErr w:type="gramStart"/>
      <w:r>
        <w:rPr>
          <w:rFonts w:ascii="仿宋" w:eastAsia="仿宋" w:hAnsi="仿宋" w:cs="仿宋" w:hint="eastAsia"/>
          <w:sz w:val="32"/>
          <w:szCs w:val="32"/>
        </w:rPr>
        <w:t>业</w:t>
      </w:r>
      <w:proofErr w:type="gramEnd"/>
      <w:r>
        <w:rPr>
          <w:rFonts w:ascii="仿宋" w:eastAsia="仿宋" w:hAnsi="仿宋" w:cs="仿宋" w:hint="eastAsia"/>
          <w:sz w:val="32"/>
          <w:szCs w:val="32"/>
        </w:rPr>
        <w:t>态的引入、建设提供科学规划指导和</w:t>
      </w:r>
      <w:proofErr w:type="gramStart"/>
      <w:r>
        <w:rPr>
          <w:rFonts w:ascii="仿宋" w:eastAsia="仿宋" w:hAnsi="仿宋" w:cs="仿宋" w:hint="eastAsia"/>
          <w:sz w:val="32"/>
          <w:szCs w:val="32"/>
        </w:rPr>
        <w:t>研判</w:t>
      </w:r>
      <w:proofErr w:type="gramEnd"/>
      <w:r>
        <w:rPr>
          <w:rFonts w:ascii="仿宋" w:eastAsia="仿宋" w:hAnsi="仿宋" w:cs="仿宋" w:hint="eastAsia"/>
          <w:sz w:val="32"/>
          <w:szCs w:val="32"/>
        </w:rPr>
        <w:t>依据；其次，园区可借助此次规划编制工作，系统梳理高新区现有商业主体和业态，建立数字化管理台账，为招商引资工作提供参考。</w:t>
      </w:r>
    </w:p>
    <w:p w:rsidR="00431D08" w:rsidRDefault="00F214D9">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立项依据</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（1）《大连市商业网点规划（2020-2035 年）》</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（2）《大连市菜篮子零售网点规划（2021-2035）》</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3.实施主体</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高新区商务主管部门</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4.实施方案</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任务分解成三阶段，分阶段实施并取得阶段成果。</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第一阶段：数据汇融及普查阶段</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核心内容及成果：整合已有数据、开展高新区商业普查，做数据汇融，建立高新区现有商业网点的数字化台账，部分</w:t>
      </w:r>
      <w:r>
        <w:rPr>
          <w:rFonts w:ascii="仿宋" w:eastAsia="仿宋" w:hAnsi="仿宋" w:cs="仿宋" w:hint="eastAsia"/>
          <w:sz w:val="32"/>
          <w:szCs w:val="32"/>
        </w:rPr>
        <w:lastRenderedPageBreak/>
        <w:t>数据实现可视化展示。</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第二阶段：消费者专项调查阶段</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核心内容及成果：科学设计问卷并完成高新区消费者专项问卷调查，分析调查结果为高新区商业规划、招商引资提供数据支持。</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第三阶段：规划成果阶段</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核心内容及成果：结合定性研究和定量研究，形成《大连高新区商业规划报告》。</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5.实施周期</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根据编制规划的具体安排而定。</w:t>
      </w:r>
    </w:p>
    <w:p w:rsidR="00431D08" w:rsidRDefault="00F214D9">
      <w:pPr>
        <w:rPr>
          <w:rFonts w:ascii="仿宋" w:eastAsia="仿宋" w:hAnsi="仿宋" w:cs="仿宋"/>
          <w:sz w:val="32"/>
          <w:szCs w:val="32"/>
        </w:rPr>
      </w:pPr>
      <w:r>
        <w:rPr>
          <w:rFonts w:ascii="仿宋" w:eastAsia="仿宋" w:hAnsi="仿宋" w:cs="仿宋" w:hint="eastAsia"/>
          <w:sz w:val="32"/>
          <w:szCs w:val="32"/>
        </w:rPr>
        <w:t xml:space="preserve">    6.年度预算安排 </w:t>
      </w:r>
    </w:p>
    <w:p w:rsidR="00431D08" w:rsidRDefault="00F214D9">
      <w:pPr>
        <w:rPr>
          <w:rFonts w:ascii="仿宋" w:eastAsia="仿宋" w:hAnsi="仿宋" w:cs="仿宋"/>
          <w:color w:val="FF0000"/>
          <w:kern w:val="0"/>
          <w:sz w:val="32"/>
          <w:szCs w:val="32"/>
        </w:rPr>
      </w:pPr>
      <w:r>
        <w:rPr>
          <w:rFonts w:ascii="仿宋" w:eastAsia="仿宋" w:hAnsi="仿宋" w:cs="仿宋" w:hint="eastAsia"/>
          <w:sz w:val="32"/>
          <w:szCs w:val="32"/>
        </w:rPr>
        <w:t xml:space="preserve">    预算内完成。</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第三部分</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名词解释</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财政拨款收入：指市财政当年拨付的资金。</w:t>
      </w:r>
      <w:r>
        <w:rPr>
          <w:rFonts w:ascii="仿宋" w:eastAsia="仿宋" w:hAnsi="仿宋" w:cs="仿宋"/>
          <w:color w:val="000000"/>
          <w:kern w:val="0"/>
          <w:sz w:val="32"/>
          <w:szCs w:val="32"/>
        </w:rPr>
        <w:t xml:space="preserve"> </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其他收入：指除“财政拨款收入”、“财政专户拨款收入”等以外的收入，包括事业单位经营性收入、上级补助收入、附属单位上缴收入等。</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3.</w:t>
      </w:r>
      <w:r>
        <w:rPr>
          <w:rFonts w:ascii="仿宋" w:eastAsia="仿宋" w:hAnsi="仿宋" w:cs="仿宋" w:hint="eastAsia"/>
          <w:color w:val="000000"/>
          <w:kern w:val="0"/>
          <w:sz w:val="32"/>
          <w:szCs w:val="32"/>
        </w:rPr>
        <w:t>基本支出：指为保障机构正常运转、完成日常工作任务而发生的人员支出和公用支出。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4.</w:t>
      </w:r>
      <w:r>
        <w:rPr>
          <w:rFonts w:ascii="仿宋" w:eastAsia="仿宋" w:hAnsi="仿宋" w:cs="仿宋" w:hint="eastAsia"/>
          <w:color w:val="000000"/>
          <w:kern w:val="0"/>
          <w:sz w:val="32"/>
          <w:szCs w:val="32"/>
        </w:rPr>
        <w:t>项目支出：指在基本支出之外为完成特定行政任务和事业发展目标所发生的支出。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5.</w:t>
      </w:r>
      <w:r>
        <w:rPr>
          <w:rFonts w:ascii="仿宋" w:eastAsia="仿宋" w:hAnsi="仿宋" w:cs="仿宋" w:hint="eastAsia"/>
          <w:color w:val="000000"/>
          <w:kern w:val="0"/>
          <w:sz w:val="32"/>
          <w:szCs w:val="32"/>
        </w:rPr>
        <w:t>“三公”经费：指用财政拨款安排的因公出国（境）费、公务用车购置及运行费和公务接待费。其中，因公出国</w:t>
      </w:r>
      <w:r>
        <w:rPr>
          <w:rFonts w:ascii="仿宋" w:eastAsia="仿宋" w:hAnsi="仿宋" w:cs="仿宋" w:hint="eastAsia"/>
          <w:color w:val="000000"/>
          <w:kern w:val="0"/>
          <w:sz w:val="32"/>
          <w:szCs w:val="32"/>
        </w:rPr>
        <w:lastRenderedPageBreak/>
        <w:t>（境）</w:t>
      </w:r>
      <w:proofErr w:type="gramStart"/>
      <w:r>
        <w:rPr>
          <w:rFonts w:ascii="仿宋" w:eastAsia="仿宋" w:hAnsi="仿宋" w:cs="仿宋" w:hint="eastAsia"/>
          <w:color w:val="000000"/>
          <w:kern w:val="0"/>
          <w:sz w:val="32"/>
          <w:szCs w:val="32"/>
        </w:rPr>
        <w:t>费反映</w:t>
      </w:r>
      <w:proofErr w:type="gramEnd"/>
      <w:r>
        <w:rPr>
          <w:rFonts w:ascii="仿宋" w:eastAsia="仿宋" w:hAnsi="仿宋" w:cs="仿宋" w:hint="eastAsia"/>
          <w:color w:val="000000"/>
          <w:kern w:val="0"/>
          <w:sz w:val="32"/>
          <w:szCs w:val="32"/>
        </w:rPr>
        <w:t>单位公务出国（境）的住宿费、旅费、伙食补助费、杂费、培训费等支出；公务用车购置及运行</w:t>
      </w:r>
      <w:proofErr w:type="gramStart"/>
      <w:r>
        <w:rPr>
          <w:rFonts w:ascii="仿宋" w:eastAsia="仿宋" w:hAnsi="仿宋" w:cs="仿宋" w:hint="eastAsia"/>
          <w:color w:val="000000"/>
          <w:kern w:val="0"/>
          <w:sz w:val="32"/>
          <w:szCs w:val="32"/>
        </w:rPr>
        <w:t>费反映</w:t>
      </w:r>
      <w:proofErr w:type="gramEnd"/>
      <w:r>
        <w:rPr>
          <w:rFonts w:ascii="仿宋" w:eastAsia="仿宋" w:hAnsi="仿宋" w:cs="仿宋" w:hint="eastAsia"/>
          <w:color w:val="000000"/>
          <w:kern w:val="0"/>
          <w:sz w:val="32"/>
          <w:szCs w:val="32"/>
        </w:rPr>
        <w:t>单位公务用车购置费及租用费、燃料费、维修费、过路过桥费、保险费、安全奖励费用等支出；公务接待</w:t>
      </w:r>
      <w:proofErr w:type="gramStart"/>
      <w:r>
        <w:rPr>
          <w:rFonts w:ascii="仿宋" w:eastAsia="仿宋" w:hAnsi="仿宋" w:cs="仿宋" w:hint="eastAsia"/>
          <w:color w:val="000000"/>
          <w:kern w:val="0"/>
          <w:sz w:val="32"/>
          <w:szCs w:val="32"/>
        </w:rPr>
        <w:t>费反映</w:t>
      </w:r>
      <w:proofErr w:type="gramEnd"/>
      <w:r>
        <w:rPr>
          <w:rFonts w:ascii="仿宋" w:eastAsia="仿宋" w:hAnsi="仿宋" w:cs="仿宋" w:hint="eastAsia"/>
          <w:color w:val="000000"/>
          <w:kern w:val="0"/>
          <w:sz w:val="32"/>
          <w:szCs w:val="32"/>
        </w:rPr>
        <w:t>单位按规定开支的各类公务接待（含外宾接待）支出。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6.</w:t>
      </w:r>
      <w:r>
        <w:rPr>
          <w:rFonts w:ascii="仿宋" w:eastAsia="仿宋" w:hAnsi="仿宋" w:cs="仿宋" w:hint="eastAsia"/>
          <w:color w:val="000000"/>
          <w:kern w:val="0"/>
          <w:sz w:val="32"/>
          <w:szCs w:val="32"/>
        </w:rPr>
        <w:t>一般公共服务（类）财政事务（款）行政运行（项）：反映行政单位（包括实行公务员管理的事业单位）的基本支出。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7.</w:t>
      </w:r>
      <w:r>
        <w:rPr>
          <w:rFonts w:ascii="仿宋" w:eastAsia="仿宋" w:hAnsi="仿宋" w:cs="仿宋" w:hint="eastAsia"/>
          <w:color w:val="000000"/>
          <w:kern w:val="0"/>
          <w:sz w:val="32"/>
          <w:szCs w:val="32"/>
        </w:rPr>
        <w:t>一般公共服务（类）财政事务（款）一般行政管理事务（项）：反映行政单位（包括实行公务员管理的事业单位）未单独设置项级科目的其他项目支出。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8</w:t>
      </w:r>
      <w:r>
        <w:rPr>
          <w:rFonts w:ascii="仿宋" w:eastAsia="仿宋" w:hAnsi="仿宋" w:cs="仿宋" w:hint="eastAsia"/>
          <w:color w:val="000000"/>
          <w:kern w:val="0"/>
          <w:sz w:val="32"/>
          <w:szCs w:val="32"/>
        </w:rPr>
        <w:t>一般公共服务（类）财政事务（款）信息化建设（项）：反映财政部</w:t>
      </w:r>
      <w:proofErr w:type="gramStart"/>
      <w:r>
        <w:rPr>
          <w:rFonts w:ascii="仿宋" w:eastAsia="仿宋" w:hAnsi="仿宋" w:cs="仿宋" w:hint="eastAsia"/>
          <w:color w:val="000000"/>
          <w:kern w:val="0"/>
          <w:sz w:val="32"/>
          <w:szCs w:val="32"/>
        </w:rPr>
        <w:t>门用于</w:t>
      </w:r>
      <w:proofErr w:type="gramEnd"/>
      <w:r>
        <w:rPr>
          <w:rFonts w:ascii="仿宋" w:eastAsia="仿宋" w:hAnsi="仿宋" w:cs="仿宋" w:hint="eastAsia"/>
          <w:color w:val="000000"/>
          <w:kern w:val="0"/>
          <w:sz w:val="32"/>
          <w:szCs w:val="32"/>
        </w:rPr>
        <w:t>“金财工程”等信息化建设方面的支出。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9.</w:t>
      </w:r>
      <w:r>
        <w:rPr>
          <w:rFonts w:ascii="仿宋" w:eastAsia="仿宋" w:hAnsi="仿宋" w:cs="仿宋" w:hint="eastAsia"/>
          <w:color w:val="000000"/>
          <w:kern w:val="0"/>
          <w:sz w:val="32"/>
          <w:szCs w:val="32"/>
        </w:rPr>
        <w:t>一般公共服务（类）财政事务（款）财政委托业务支出（项）：反映财政委托评审机构进行财政投资评审和委托建设银行等机构代理业务发生的支出。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 xml:space="preserve">10. </w:t>
      </w:r>
      <w:r>
        <w:rPr>
          <w:rFonts w:ascii="仿宋" w:eastAsia="仿宋" w:hAnsi="仿宋" w:cs="仿宋" w:hint="eastAsia"/>
          <w:color w:val="000000"/>
          <w:kern w:val="0"/>
          <w:sz w:val="32"/>
          <w:szCs w:val="32"/>
        </w:rPr>
        <w:t>一般公共服务（类）财政事务（款）事业运行（项）：反映事业单位的基本支出，不包括行政单位（包括实行公务员管理的事业单位）后勤服务中心、医务室等附属事业单位。</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 xml:space="preserve">11. </w:t>
      </w:r>
      <w:r>
        <w:rPr>
          <w:rFonts w:ascii="仿宋" w:eastAsia="仿宋" w:hAnsi="仿宋" w:cs="仿宋" w:hint="eastAsia"/>
          <w:color w:val="000000"/>
          <w:kern w:val="0"/>
          <w:sz w:val="32"/>
          <w:szCs w:val="32"/>
        </w:rPr>
        <w:t>一般公共服务（类）财政事务（款）其他财政事务支出（项）：反映其他财政事务方面的支出。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12</w:t>
      </w:r>
      <w:r>
        <w:rPr>
          <w:rFonts w:ascii="仿宋" w:eastAsia="仿宋" w:hAnsi="仿宋" w:cs="仿宋" w:hint="eastAsia"/>
          <w:color w:val="000000"/>
          <w:kern w:val="0"/>
          <w:sz w:val="32"/>
          <w:szCs w:val="32"/>
        </w:rPr>
        <w:t>．教育支出（类）其他教育支出（款）其他教育支出（项）：反映其他用于教育方面的支出。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 xml:space="preserve">13. </w:t>
      </w:r>
      <w:r>
        <w:rPr>
          <w:rFonts w:ascii="仿宋" w:eastAsia="仿宋" w:hAnsi="仿宋" w:cs="仿宋" w:hint="eastAsia"/>
          <w:color w:val="000000"/>
          <w:kern w:val="0"/>
          <w:sz w:val="32"/>
          <w:szCs w:val="32"/>
        </w:rPr>
        <w:t>社会保障和就业（类）行政事业单位离退休（款）归口管理的行政单位离退休（项）：反映实行归口管理的行</w:t>
      </w:r>
      <w:r>
        <w:rPr>
          <w:rFonts w:ascii="仿宋" w:eastAsia="仿宋" w:hAnsi="仿宋" w:cs="仿宋" w:hint="eastAsia"/>
          <w:color w:val="000000"/>
          <w:kern w:val="0"/>
          <w:sz w:val="32"/>
          <w:szCs w:val="32"/>
        </w:rPr>
        <w:lastRenderedPageBreak/>
        <w:t>政单位（包括实行公务员管理的事业单位）开支的离退休经费。</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 xml:space="preserve">14. </w:t>
      </w:r>
      <w:r>
        <w:rPr>
          <w:rFonts w:ascii="仿宋" w:eastAsia="仿宋" w:hAnsi="仿宋" w:cs="仿宋" w:hint="eastAsia"/>
          <w:color w:val="000000"/>
          <w:kern w:val="0"/>
          <w:sz w:val="32"/>
          <w:szCs w:val="32"/>
        </w:rPr>
        <w:t>社会保障和就业（类）行政事业单位离退休（款）机关事业单位基本养老保险缴费支出（项）：反映机关事业单位实施养老保险制度由单位缴纳的基本养老保险费支出。</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15.</w:t>
      </w:r>
      <w:r>
        <w:rPr>
          <w:rFonts w:ascii="仿宋" w:eastAsia="仿宋" w:hAnsi="仿宋" w:cs="仿宋" w:hint="eastAsia"/>
          <w:color w:val="000000"/>
          <w:kern w:val="0"/>
          <w:sz w:val="32"/>
          <w:szCs w:val="32"/>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16.</w:t>
      </w:r>
      <w:r>
        <w:rPr>
          <w:rFonts w:ascii="仿宋" w:eastAsia="仿宋" w:hAnsi="仿宋" w:cs="仿宋" w:hint="eastAsia"/>
          <w:color w:val="000000"/>
          <w:kern w:val="0"/>
          <w:sz w:val="32"/>
          <w:szCs w:val="32"/>
        </w:rPr>
        <w:t>医疗卫生与计划生育（类）医疗保障（款）事业单位医疗（项）：反映财政部门集中安排的事业单位基本医疗保险缴费经费，未参加医疗保险的事业单位的公费医疗经费，按国家规定享受离休人员待遇人员的医疗经费。</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17.</w:t>
      </w:r>
      <w:r>
        <w:rPr>
          <w:rFonts w:ascii="仿宋" w:eastAsia="仿宋" w:hAnsi="仿宋" w:cs="仿宋" w:hint="eastAsia"/>
          <w:color w:val="000000"/>
          <w:kern w:val="0"/>
          <w:sz w:val="32"/>
          <w:szCs w:val="32"/>
        </w:rPr>
        <w:t>住房保障（类）住房改革（款）住房公积金（项）：反映行政事业单位按人力资源和社会保障部、财政部规定的基本工资和津贴补贴以及规定比例为职工缴纳的住房公积金。</w:t>
      </w:r>
    </w:p>
    <w:p w:rsidR="00431D08" w:rsidRDefault="00F214D9">
      <w:pPr>
        <w:widowControl/>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18.</w:t>
      </w:r>
      <w:r>
        <w:rPr>
          <w:rFonts w:ascii="仿宋" w:eastAsia="仿宋" w:hAnsi="仿宋" w:cs="仿宋" w:hint="eastAsia"/>
          <w:color w:val="000000"/>
          <w:kern w:val="0"/>
          <w:sz w:val="32"/>
          <w:szCs w:val="32"/>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rsidR="00431D08" w:rsidRDefault="00431D08">
      <w:pPr>
        <w:widowControl/>
        <w:spacing w:line="560" w:lineRule="exact"/>
        <w:ind w:firstLineChars="200" w:firstLine="640"/>
        <w:jc w:val="left"/>
        <w:rPr>
          <w:rFonts w:ascii="仿宋" w:eastAsia="仿宋" w:hAnsi="仿宋" w:cs="仿宋"/>
          <w:color w:val="000000"/>
          <w:kern w:val="0"/>
          <w:sz w:val="32"/>
          <w:szCs w:val="32"/>
        </w:rPr>
      </w:pPr>
    </w:p>
    <w:p w:rsidR="00431D08" w:rsidRDefault="00F214D9">
      <w:pPr>
        <w:spacing w:line="560" w:lineRule="exac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 w:eastAsia="仿宋" w:hAnsi="仿宋" w:cs="仿宋"/>
          <w:sz w:val="32"/>
          <w:szCs w:val="32"/>
        </w:rPr>
        <w:t xml:space="preserve">  202</w:t>
      </w:r>
      <w:r>
        <w:rPr>
          <w:rFonts w:ascii="仿宋" w:eastAsia="仿宋" w:hAnsi="仿宋" w:cs="仿宋" w:hint="eastAsia"/>
          <w:sz w:val="32"/>
          <w:szCs w:val="32"/>
        </w:rPr>
        <w:t>3年2月13日</w:t>
      </w:r>
    </w:p>
    <w:sectPr w:rsidR="00431D08">
      <w:pgSz w:w="11906" w:h="16838"/>
      <w:pgMar w:top="1531"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E6A" w:rsidRDefault="000A1E6A" w:rsidP="006A4FD7">
      <w:r>
        <w:separator/>
      </w:r>
    </w:p>
  </w:endnote>
  <w:endnote w:type="continuationSeparator" w:id="0">
    <w:p w:rsidR="000A1E6A" w:rsidRDefault="000A1E6A" w:rsidP="006A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E6A" w:rsidRDefault="000A1E6A" w:rsidP="006A4FD7">
      <w:r>
        <w:separator/>
      </w:r>
    </w:p>
  </w:footnote>
  <w:footnote w:type="continuationSeparator" w:id="0">
    <w:p w:rsidR="000A1E6A" w:rsidRDefault="000A1E6A" w:rsidP="006A4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782F8"/>
    <w:multiLevelType w:val="singleLevel"/>
    <w:tmpl w:val="64B782F8"/>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D08"/>
    <w:rsid w:val="000A1E6A"/>
    <w:rsid w:val="00431D08"/>
    <w:rsid w:val="006A4FD7"/>
    <w:rsid w:val="00826BF3"/>
    <w:rsid w:val="00F2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Title" w:locked="1" w:semiHidden="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Pr>
      <w:rFonts w:ascii="Times New Roman" w:eastAsia="宋体" w:hAnsi="Times New Roman" w:cs="Times New Roman"/>
      <w:sz w:val="18"/>
      <w:szCs w:val="18"/>
    </w:rPr>
  </w:style>
  <w:style w:type="character" w:customStyle="1" w:styleId="Char">
    <w:name w:val="页脚 Char"/>
    <w:link w:val="a3"/>
    <w:uiPriority w:val="99"/>
    <w:semiHidden/>
    <w:lock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610</Words>
  <Characters>3480</Characters>
  <Application>Microsoft Office Word</Application>
  <DocSecurity>0</DocSecurity>
  <Lines>29</Lines>
  <Paragraphs>8</Paragraphs>
  <ScaleCrop>false</ScaleCrop>
  <Company>Microsoft</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高新区投资促进局2022年部门预算</dc:title>
  <dc:creator>Custmor</dc:creator>
  <cp:lastModifiedBy>微软用户</cp:lastModifiedBy>
  <cp:revision>3</cp:revision>
  <cp:lastPrinted>2023-07-19T07:02:00Z</cp:lastPrinted>
  <dcterms:created xsi:type="dcterms:W3CDTF">2016-12-21T02:56:00Z</dcterms:created>
  <dcterms:modified xsi:type="dcterms:W3CDTF">2023-07-21T06:59:00Z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