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C8" w:rsidRDefault="00C274C8">
      <w:pPr>
        <w:spacing w:line="600" w:lineRule="exact"/>
        <w:rPr>
          <w:rFonts w:ascii="仿宋_GB2312" w:eastAsia="仿宋_GB2312"/>
          <w:sz w:val="32"/>
          <w:szCs w:val="32"/>
        </w:rPr>
      </w:pPr>
    </w:p>
    <w:p w:rsidR="00C274C8" w:rsidRDefault="00F611D3">
      <w:pPr>
        <w:widowControl/>
        <w:spacing w:line="330" w:lineRule="atLeast"/>
        <w:jc w:val="center"/>
        <w:rPr>
          <w:rFonts w:ascii="仿宋" w:eastAsia="仿宋" w:hAnsi="仿宋"/>
          <w:b/>
          <w:bCs/>
          <w:color w:val="000000"/>
          <w:sz w:val="36"/>
          <w:szCs w:val="36"/>
        </w:rPr>
      </w:pPr>
      <w:r>
        <w:rPr>
          <w:rFonts w:ascii="仿宋" w:eastAsia="仿宋" w:hAnsi="仿宋" w:cs="仿宋" w:hint="eastAsia"/>
          <w:b/>
          <w:bCs/>
          <w:sz w:val="36"/>
          <w:szCs w:val="36"/>
        </w:rPr>
        <w:t>高新区教育文体局</w:t>
      </w:r>
      <w:r>
        <w:rPr>
          <w:rFonts w:ascii="仿宋" w:eastAsia="仿宋" w:hAnsi="仿宋" w:cs="仿宋"/>
          <w:b/>
          <w:bCs/>
          <w:color w:val="000000"/>
          <w:kern w:val="0"/>
          <w:sz w:val="36"/>
          <w:szCs w:val="36"/>
        </w:rPr>
        <w:t>2023</w:t>
      </w:r>
      <w:r>
        <w:rPr>
          <w:rFonts w:ascii="仿宋" w:eastAsia="仿宋" w:hAnsi="仿宋" w:cs="仿宋" w:hint="eastAsia"/>
          <w:b/>
          <w:bCs/>
          <w:color w:val="000000"/>
          <w:kern w:val="0"/>
          <w:sz w:val="36"/>
          <w:szCs w:val="36"/>
        </w:rPr>
        <w:t>年部门预算</w:t>
      </w:r>
    </w:p>
    <w:p w:rsidR="00C274C8" w:rsidRDefault="00F611D3">
      <w:pPr>
        <w:widowControl/>
        <w:spacing w:line="330" w:lineRule="atLeast"/>
        <w:jc w:val="left"/>
        <w:rPr>
          <w:rFonts w:ascii="Verdana" w:eastAsia="仿宋" w:hAnsi="Verdana"/>
          <w:color w:val="000000"/>
          <w:kern w:val="0"/>
          <w:sz w:val="30"/>
          <w:szCs w:val="30"/>
        </w:rPr>
      </w:pPr>
      <w:r>
        <w:rPr>
          <w:rFonts w:ascii="Verdana" w:eastAsia="仿宋" w:hAnsi="Verdana"/>
          <w:color w:val="000000"/>
          <w:kern w:val="0"/>
          <w:sz w:val="30"/>
          <w:szCs w:val="30"/>
        </w:rPr>
        <w:t> </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第一部分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部门概况</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一、主要职责：</w:t>
      </w:r>
    </w:p>
    <w:p w:rsidR="00C274C8" w:rsidRDefault="00F611D3">
      <w:pPr>
        <w:spacing w:line="600" w:lineRule="exact"/>
        <w:ind w:firstLineChars="200" w:firstLine="600"/>
        <w:rPr>
          <w:rFonts w:ascii="仿宋" w:eastAsia="仿宋" w:hAnsi="仿宋"/>
          <w:b/>
          <w:sz w:val="30"/>
          <w:szCs w:val="30"/>
        </w:rPr>
      </w:pPr>
      <w:r>
        <w:rPr>
          <w:rFonts w:ascii="仿宋" w:eastAsia="仿宋" w:hAnsi="仿宋" w:hint="eastAsia"/>
          <w:sz w:val="30"/>
          <w:szCs w:val="30"/>
        </w:rPr>
        <w:t>（一）贯彻执行国家、省、市有关文化、教育、体育、卫生、妇幼健康、旅游、爱国卫生等工作方针政策、法律、法规及规章，研究拟定全区文教卫生、人口监测与家庭发展等社会事业中长期发展规划、年度计划及相关的地方性行政管理规定，并组织实施。</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t>（二）负责全区学前教育、基础教育、职业技术教育、成人教育、民办教育等教育行政管理、教育督学管理和教育安全管理工作。指导开展教育科研及教师培训工作。组织全区的招生考试工作。开展职业教育的调研与实践，探索职业教育改革发展新途径，宣传有关职业教育的方针政策，推动职业教育事业健康发展，促进社会文明与进步。</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t>（三）负责全区教育信息系统建设、管理和维护工作。</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t>（四）负责全区教师队伍继续教育岗位培训工作。</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t>（五）负责全区学校的在编人员管理工作；负责全区教师资格的审定、职称评审、工资福利、人事档案管理等工作。</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t>（六）负责全区学校的学籍管理工作。</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t>（七）负责编制全区教育经费预决算及学校经费核拨等工作。</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t>（八）负责全区卫生、妇幼、教育、文化、体育设施建设和改造工作及固定资产、设备的配备、安装、管理和维修维护工作。</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lastRenderedPageBreak/>
        <w:t>（九）负责全区公立中小学校舍和幼儿园建设、改造、维修、景观绿化和校园文化建设等工作。</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t>（十）负责全区医疗、卫生、预防、保健、老龄、职业安全健康工作。组织开展妇幼卫生、公共场所卫生、学校卫生、劳动卫生、职业安全健康等监督管理工作。负责医院、医疗机构建设及行政管理工作和监督工作。负责全区卫生科研和继续医学教育及培训工作。</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t>（十一）负责全区卫生技术人员资格认证、医生护士注册及卫生行风建设。负责医疗纠纷、医疗事故的处理工作。负责地方病防治和重大突发事件及自然灾害的伤病员救治与疾病控制工作。</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t>（十二）负责全区妇幼健康工作，负责查处违反妇幼健康政策的行为。</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t>（十三）负责全区爱国卫生工作。</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t>（十四）负责全区深化医药卫生体制改革工作。</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t>（十五）支持发展文化产业，加强文艺界与社会各界的联系，维护国家利益和文化安全，配合有关部门开展“扫黄打非”相关工作，繁荣发展文化艺术事业。</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t>（十六）管理社会科学界各学会、协会、研究会，组织开展学术活动，负责社会科学普及工作，促进社会科学事业发展。</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t>（十七）指导红十字会组织建设，负责拟订组织建设相关政策、规定和工作规划、计划，推动理顺管理体制工作和红十字会基层组织建设工作，负责红十字会相关法律、法规的宣传及工作</w:t>
      </w:r>
      <w:r>
        <w:rPr>
          <w:rFonts w:ascii="仿宋" w:eastAsia="仿宋" w:hAnsi="仿宋" w:hint="eastAsia"/>
          <w:sz w:val="30"/>
          <w:szCs w:val="30"/>
        </w:rPr>
        <w:lastRenderedPageBreak/>
        <w:t>信息报送等相关工作。</w:t>
      </w:r>
    </w:p>
    <w:p w:rsidR="00C274C8" w:rsidRDefault="00F611D3">
      <w:pPr>
        <w:spacing w:line="600" w:lineRule="exact"/>
        <w:ind w:firstLineChars="200" w:firstLine="600"/>
        <w:rPr>
          <w:rFonts w:ascii="仿宋" w:eastAsia="仿宋" w:hAnsi="仿宋"/>
          <w:sz w:val="30"/>
          <w:szCs w:val="30"/>
        </w:rPr>
      </w:pPr>
      <w:r>
        <w:rPr>
          <w:rFonts w:ascii="仿宋" w:eastAsia="仿宋" w:hAnsi="仿宋" w:hint="eastAsia"/>
          <w:sz w:val="30"/>
          <w:szCs w:val="30"/>
        </w:rPr>
        <w:t>（十八）完成区党工委、管委会交办的其他工作。</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第二部分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部门预算情况说明</w:t>
      </w:r>
    </w:p>
    <w:p w:rsidR="00C274C8" w:rsidRDefault="00F611D3">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一、总体说明</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按照综合预算的原则，本部门所有收入和支出均纳入部门预算管理。本部门中，行政单位1家，事业单位2家。具体包括：大连高新技术产业园区教育文体局(本级)， 大连高新技术产业园区招生办公室，大连高新技术产业园区教师进修学校。收入包括：财政拨款收入2</w:t>
      </w:r>
      <w:r>
        <w:rPr>
          <w:rFonts w:ascii="仿宋" w:eastAsia="仿宋" w:hAnsi="仿宋" w:cs="仿宋"/>
          <w:color w:val="000000"/>
          <w:kern w:val="0"/>
          <w:sz w:val="30"/>
          <w:szCs w:val="30"/>
        </w:rPr>
        <w:t>5111.73</w:t>
      </w:r>
      <w:r>
        <w:rPr>
          <w:rFonts w:ascii="仿宋" w:eastAsia="仿宋" w:hAnsi="仿宋" w:cs="仿宋" w:hint="eastAsia"/>
          <w:color w:val="000000"/>
          <w:kern w:val="0"/>
          <w:sz w:val="30"/>
          <w:szCs w:val="30"/>
        </w:rPr>
        <w:t>万元，其中包括：一般公共预算</w:t>
      </w:r>
      <w:r>
        <w:rPr>
          <w:rFonts w:ascii="仿宋" w:eastAsia="仿宋" w:hAnsi="仿宋" w:cs="仿宋"/>
          <w:color w:val="000000"/>
          <w:kern w:val="0"/>
          <w:sz w:val="30"/>
          <w:szCs w:val="30"/>
        </w:rPr>
        <w:t>20605.57</w:t>
      </w:r>
      <w:r>
        <w:rPr>
          <w:rFonts w:ascii="仿宋" w:eastAsia="仿宋" w:hAnsi="仿宋" w:cs="仿宋" w:hint="eastAsia"/>
          <w:color w:val="000000"/>
          <w:kern w:val="0"/>
          <w:sz w:val="30"/>
          <w:szCs w:val="30"/>
        </w:rPr>
        <w:t>万元，上年转结余4</w:t>
      </w:r>
      <w:r>
        <w:rPr>
          <w:rFonts w:ascii="仿宋" w:eastAsia="仿宋" w:hAnsi="仿宋" w:cs="仿宋"/>
          <w:color w:val="000000"/>
          <w:kern w:val="0"/>
          <w:sz w:val="30"/>
          <w:szCs w:val="30"/>
        </w:rPr>
        <w:t>506.16</w:t>
      </w:r>
      <w:r>
        <w:rPr>
          <w:rFonts w:ascii="仿宋" w:eastAsia="仿宋" w:hAnsi="仿宋" w:cs="仿宋" w:hint="eastAsia"/>
          <w:color w:val="000000"/>
          <w:kern w:val="0"/>
          <w:sz w:val="30"/>
          <w:szCs w:val="30"/>
        </w:rPr>
        <w:t>万元；支出包括：工资福利和对个人家庭补助支出</w:t>
      </w:r>
      <w:r>
        <w:rPr>
          <w:rFonts w:ascii="仿宋" w:eastAsia="仿宋" w:hAnsi="仿宋" w:cs="仿宋"/>
          <w:color w:val="000000"/>
          <w:kern w:val="0"/>
          <w:sz w:val="30"/>
          <w:szCs w:val="30"/>
        </w:rPr>
        <w:t>2168.21</w:t>
      </w:r>
      <w:r>
        <w:rPr>
          <w:rFonts w:ascii="仿宋" w:eastAsia="仿宋" w:hAnsi="仿宋" w:cs="仿宋" w:hint="eastAsia"/>
          <w:color w:val="000000"/>
          <w:kern w:val="0"/>
          <w:sz w:val="30"/>
          <w:szCs w:val="30"/>
        </w:rPr>
        <w:t>万元，</w:t>
      </w:r>
      <w:r>
        <w:rPr>
          <w:rFonts w:ascii="仿宋" w:eastAsia="仿宋" w:hAnsi="仿宋" w:cs="仿宋" w:hint="eastAsia"/>
          <w:sz w:val="30"/>
          <w:szCs w:val="30"/>
        </w:rPr>
        <w:t>商品和服务支出</w:t>
      </w:r>
      <w:r>
        <w:rPr>
          <w:rFonts w:ascii="仿宋" w:eastAsia="仿宋" w:hAnsi="仿宋" w:cs="仿宋"/>
          <w:color w:val="000000"/>
          <w:kern w:val="0"/>
          <w:sz w:val="30"/>
          <w:szCs w:val="30"/>
        </w:rPr>
        <w:t>3434.42</w:t>
      </w:r>
      <w:r>
        <w:rPr>
          <w:rFonts w:ascii="仿宋" w:eastAsia="仿宋" w:hAnsi="仿宋" w:cs="仿宋" w:hint="eastAsia"/>
          <w:color w:val="000000"/>
          <w:kern w:val="0"/>
          <w:sz w:val="30"/>
          <w:szCs w:val="30"/>
        </w:rPr>
        <w:t>万</w:t>
      </w:r>
      <w:r>
        <w:rPr>
          <w:rFonts w:ascii="仿宋" w:eastAsia="仿宋" w:hAnsi="仿宋" w:cs="仿宋" w:hint="eastAsia"/>
          <w:sz w:val="30"/>
          <w:szCs w:val="30"/>
        </w:rPr>
        <w:t>元，资本性支出（基本建设）1</w:t>
      </w:r>
      <w:r>
        <w:rPr>
          <w:rFonts w:ascii="仿宋" w:eastAsia="仿宋" w:hAnsi="仿宋" w:cs="仿宋"/>
          <w:sz w:val="30"/>
          <w:szCs w:val="30"/>
        </w:rPr>
        <w:t>9244.19</w:t>
      </w:r>
      <w:r>
        <w:rPr>
          <w:rFonts w:ascii="仿宋" w:eastAsia="仿宋" w:hAnsi="仿宋" w:cs="仿宋" w:hint="eastAsia"/>
          <w:sz w:val="30"/>
          <w:szCs w:val="30"/>
        </w:rPr>
        <w:t>万元，资本性支出7</w:t>
      </w:r>
      <w:r>
        <w:rPr>
          <w:rFonts w:ascii="仿宋" w:eastAsia="仿宋" w:hAnsi="仿宋" w:cs="仿宋"/>
          <w:sz w:val="30"/>
          <w:szCs w:val="30"/>
        </w:rPr>
        <w:t>.1</w:t>
      </w:r>
      <w:r>
        <w:rPr>
          <w:rFonts w:ascii="仿宋" w:eastAsia="仿宋" w:hAnsi="仿宋" w:cs="仿宋" w:hint="eastAsia"/>
          <w:sz w:val="30"/>
          <w:szCs w:val="30"/>
        </w:rPr>
        <w:t>万元，对企业补助2</w:t>
      </w:r>
      <w:r>
        <w:rPr>
          <w:rFonts w:ascii="仿宋" w:eastAsia="仿宋" w:hAnsi="仿宋" w:cs="仿宋"/>
          <w:sz w:val="30"/>
          <w:szCs w:val="30"/>
        </w:rPr>
        <w:t>57.8</w:t>
      </w:r>
      <w:r>
        <w:rPr>
          <w:rFonts w:ascii="仿宋" w:eastAsia="仿宋" w:hAnsi="仿宋" w:cs="仿宋" w:hint="eastAsia"/>
          <w:sz w:val="30"/>
          <w:szCs w:val="30"/>
        </w:rPr>
        <w:t>万元，其中</w:t>
      </w:r>
      <w:r>
        <w:rPr>
          <w:rFonts w:ascii="仿宋" w:eastAsia="仿宋" w:hAnsi="仿宋" w:cs="仿宋" w:hint="eastAsia"/>
          <w:color w:val="000000"/>
          <w:kern w:val="0"/>
          <w:sz w:val="30"/>
          <w:szCs w:val="30"/>
        </w:rPr>
        <w:t>专项支出18338.64</w:t>
      </w:r>
      <w:r w:rsidR="00C02E17">
        <w:rPr>
          <w:rFonts w:ascii="仿宋" w:eastAsia="仿宋" w:hAnsi="仿宋" w:cs="仿宋" w:hint="eastAsia"/>
          <w:color w:val="000000"/>
          <w:kern w:val="0"/>
          <w:sz w:val="30"/>
          <w:szCs w:val="30"/>
        </w:rPr>
        <w:t>万元。一般公共预算</w:t>
      </w:r>
      <w:r>
        <w:rPr>
          <w:rFonts w:ascii="仿宋" w:eastAsia="仿宋" w:hAnsi="仿宋" w:cs="仿宋" w:hint="eastAsia"/>
          <w:color w:val="000000"/>
          <w:kern w:val="0"/>
          <w:sz w:val="30"/>
          <w:szCs w:val="30"/>
        </w:rPr>
        <w:t>支</w:t>
      </w:r>
      <w:r w:rsidR="00C02E17">
        <w:rPr>
          <w:rFonts w:ascii="仿宋" w:eastAsia="仿宋" w:hAnsi="仿宋" w:cs="仿宋" w:hint="eastAsia"/>
          <w:color w:val="000000"/>
          <w:kern w:val="0"/>
          <w:sz w:val="30"/>
          <w:szCs w:val="30"/>
        </w:rPr>
        <w:t>出</w:t>
      </w:r>
      <w:r>
        <w:rPr>
          <w:rFonts w:ascii="仿宋" w:eastAsia="仿宋" w:hAnsi="仿宋" w:cs="仿宋" w:hint="eastAsia"/>
          <w:color w:val="000000"/>
          <w:kern w:val="0"/>
          <w:sz w:val="30"/>
          <w:szCs w:val="30"/>
        </w:rPr>
        <w:t>25111.64</w:t>
      </w:r>
      <w:r w:rsidR="00C02E17">
        <w:rPr>
          <w:rFonts w:ascii="仿宋" w:eastAsia="仿宋" w:hAnsi="仿宋" w:cs="仿宋" w:hint="eastAsia"/>
          <w:color w:val="000000"/>
          <w:kern w:val="0"/>
          <w:sz w:val="30"/>
          <w:szCs w:val="30"/>
        </w:rPr>
        <w:t>万元，政府性基金预算</w:t>
      </w:r>
      <w:r>
        <w:rPr>
          <w:rFonts w:ascii="仿宋" w:eastAsia="仿宋" w:hAnsi="仿宋" w:cs="仿宋" w:hint="eastAsia"/>
          <w:color w:val="000000"/>
          <w:kern w:val="0"/>
          <w:sz w:val="30"/>
          <w:szCs w:val="30"/>
        </w:rPr>
        <w:t>支</w:t>
      </w:r>
      <w:r w:rsidR="00C02E17">
        <w:rPr>
          <w:rFonts w:ascii="仿宋" w:eastAsia="仿宋" w:hAnsi="仿宋" w:cs="仿宋" w:hint="eastAsia"/>
          <w:color w:val="000000"/>
          <w:kern w:val="0"/>
          <w:sz w:val="30"/>
          <w:szCs w:val="30"/>
        </w:rPr>
        <w:t>出</w:t>
      </w:r>
      <w:r>
        <w:rPr>
          <w:rFonts w:ascii="仿宋" w:eastAsia="仿宋" w:hAnsi="仿宋" w:cs="仿宋" w:hint="eastAsia"/>
          <w:color w:val="000000"/>
          <w:kern w:val="0"/>
          <w:sz w:val="30"/>
          <w:szCs w:val="30"/>
        </w:rPr>
        <w:t>0</w:t>
      </w:r>
      <w:r>
        <w:rPr>
          <w:rFonts w:ascii="仿宋" w:eastAsia="仿宋" w:hAnsi="仿宋" w:cs="仿宋"/>
          <w:color w:val="000000"/>
          <w:kern w:val="0"/>
          <w:sz w:val="30"/>
          <w:szCs w:val="30"/>
        </w:rPr>
        <w:t>.09</w:t>
      </w:r>
      <w:r>
        <w:rPr>
          <w:rFonts w:ascii="仿宋" w:eastAsia="仿宋" w:hAnsi="仿宋" w:cs="仿宋" w:hint="eastAsia"/>
          <w:color w:val="000000"/>
          <w:kern w:val="0"/>
          <w:sz w:val="30"/>
          <w:szCs w:val="30"/>
        </w:rPr>
        <w:t>万元。比</w:t>
      </w:r>
      <w:r>
        <w:rPr>
          <w:rFonts w:ascii="仿宋" w:eastAsia="仿宋" w:hAnsi="仿宋" w:cs="仿宋"/>
          <w:color w:val="000000"/>
          <w:kern w:val="0"/>
          <w:sz w:val="30"/>
          <w:szCs w:val="30"/>
        </w:rPr>
        <w:t>2022</w:t>
      </w:r>
      <w:r>
        <w:rPr>
          <w:rFonts w:ascii="仿宋" w:eastAsia="仿宋" w:hAnsi="仿宋" w:cs="仿宋" w:hint="eastAsia"/>
          <w:color w:val="000000"/>
          <w:kern w:val="0"/>
          <w:sz w:val="30"/>
          <w:szCs w:val="30"/>
        </w:rPr>
        <w:t>年预算数减少5</w:t>
      </w:r>
      <w:r>
        <w:rPr>
          <w:rFonts w:ascii="仿宋" w:eastAsia="仿宋" w:hAnsi="仿宋" w:cs="仿宋"/>
          <w:color w:val="000000"/>
          <w:kern w:val="0"/>
          <w:sz w:val="30"/>
          <w:szCs w:val="30"/>
        </w:rPr>
        <w:t>883.84</w:t>
      </w:r>
      <w:r>
        <w:rPr>
          <w:rFonts w:ascii="仿宋" w:eastAsia="仿宋" w:hAnsi="仿宋" w:cs="仿宋" w:hint="eastAsia"/>
          <w:color w:val="000000"/>
          <w:kern w:val="0"/>
          <w:sz w:val="30"/>
          <w:szCs w:val="30"/>
        </w:rPr>
        <w:t>万元，其中工资福利和对个人家庭补助支出减少5</w:t>
      </w:r>
      <w:r>
        <w:rPr>
          <w:rFonts w:ascii="仿宋" w:eastAsia="仿宋" w:hAnsi="仿宋" w:cs="仿宋"/>
          <w:color w:val="000000"/>
          <w:kern w:val="0"/>
          <w:sz w:val="30"/>
          <w:szCs w:val="30"/>
        </w:rPr>
        <w:t>29.52</w:t>
      </w:r>
      <w:r>
        <w:rPr>
          <w:rFonts w:ascii="仿宋" w:eastAsia="仿宋" w:hAnsi="仿宋" w:cs="仿宋" w:hint="eastAsia"/>
          <w:color w:val="000000"/>
          <w:kern w:val="0"/>
          <w:sz w:val="30"/>
          <w:szCs w:val="30"/>
        </w:rPr>
        <w:t>万元，商品和服务支出增加1348.61万元，资本性</w:t>
      </w:r>
      <w:r>
        <w:rPr>
          <w:rFonts w:ascii="仿宋" w:eastAsia="仿宋" w:hAnsi="仿宋" w:cs="仿宋" w:hint="eastAsia"/>
          <w:sz w:val="30"/>
          <w:szCs w:val="30"/>
        </w:rPr>
        <w:t>支出（基本建设）增加2</w:t>
      </w:r>
      <w:r>
        <w:rPr>
          <w:rFonts w:ascii="仿宋" w:eastAsia="仿宋" w:hAnsi="仿宋" w:cs="仿宋"/>
          <w:sz w:val="30"/>
          <w:szCs w:val="30"/>
        </w:rPr>
        <w:t>473.29</w:t>
      </w:r>
      <w:r>
        <w:rPr>
          <w:rFonts w:ascii="仿宋" w:eastAsia="仿宋" w:hAnsi="仿宋" w:cs="仿宋" w:hint="eastAsia"/>
          <w:sz w:val="30"/>
          <w:szCs w:val="30"/>
        </w:rPr>
        <w:t>万元，资本性支出减少</w:t>
      </w:r>
      <w:r>
        <w:rPr>
          <w:rFonts w:ascii="仿宋" w:eastAsia="仿宋" w:hAnsi="仿宋" w:cs="仿宋"/>
          <w:sz w:val="30"/>
          <w:szCs w:val="30"/>
        </w:rPr>
        <w:t>139</w:t>
      </w:r>
      <w:r>
        <w:rPr>
          <w:rFonts w:ascii="仿宋" w:eastAsia="仿宋" w:hAnsi="仿宋" w:cs="仿宋" w:hint="eastAsia"/>
          <w:sz w:val="30"/>
          <w:szCs w:val="30"/>
        </w:rPr>
        <w:t>.</w:t>
      </w:r>
      <w:r>
        <w:rPr>
          <w:rFonts w:ascii="仿宋" w:eastAsia="仿宋" w:hAnsi="仿宋" w:cs="仿宋"/>
          <w:sz w:val="30"/>
          <w:szCs w:val="30"/>
        </w:rPr>
        <w:t>9</w:t>
      </w:r>
      <w:r>
        <w:rPr>
          <w:rFonts w:ascii="仿宋" w:eastAsia="仿宋" w:hAnsi="仿宋" w:cs="仿宋" w:hint="eastAsia"/>
          <w:sz w:val="30"/>
          <w:szCs w:val="30"/>
        </w:rPr>
        <w:t>万元，对企业补助减少2</w:t>
      </w:r>
      <w:r>
        <w:rPr>
          <w:rFonts w:ascii="仿宋" w:eastAsia="仿宋" w:hAnsi="仿宋" w:cs="仿宋"/>
          <w:sz w:val="30"/>
          <w:szCs w:val="30"/>
        </w:rPr>
        <w:t>50.33</w:t>
      </w:r>
      <w:r>
        <w:rPr>
          <w:rFonts w:ascii="仿宋" w:eastAsia="仿宋" w:hAnsi="仿宋" w:cs="仿宋" w:hint="eastAsia"/>
          <w:sz w:val="30"/>
          <w:szCs w:val="30"/>
        </w:rPr>
        <w:t>万元。</w:t>
      </w:r>
    </w:p>
    <w:p w:rsidR="00C274C8" w:rsidRDefault="00F611D3">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二、“三公”经费预算情况说明</w:t>
      </w:r>
    </w:p>
    <w:p w:rsidR="00C274C8" w:rsidRDefault="00F611D3">
      <w:pPr>
        <w:spacing w:line="600" w:lineRule="exact"/>
        <w:ind w:firstLineChars="200" w:firstLine="600"/>
        <w:rPr>
          <w:rFonts w:ascii="仿宋" w:eastAsia="仿宋" w:hAnsi="仿宋"/>
          <w:sz w:val="30"/>
          <w:szCs w:val="30"/>
        </w:rPr>
      </w:pPr>
      <w:r>
        <w:rPr>
          <w:rFonts w:ascii="仿宋" w:eastAsia="仿宋" w:hAnsi="仿宋" w:cs="仿宋" w:hint="eastAsia"/>
          <w:sz w:val="30"/>
          <w:szCs w:val="30"/>
        </w:rPr>
        <w:t>无“三公”经费。</w:t>
      </w:r>
      <w:r>
        <w:rPr>
          <w:rFonts w:ascii="仿宋" w:eastAsia="仿宋" w:hAnsi="仿宋" w:cs="仿宋" w:hint="eastAsia"/>
          <w:color w:val="000000"/>
          <w:kern w:val="0"/>
          <w:sz w:val="30"/>
          <w:szCs w:val="30"/>
        </w:rPr>
        <w:t>主要是按照中央及市委、市政府关于厉行节约、改进工作作风、密切联系群众“八项规定”等有关要求，严格控制“三公”经费支出。</w:t>
      </w:r>
    </w:p>
    <w:p w:rsidR="00C274C8" w:rsidRDefault="00F611D3">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三、机关运行经费安排情况说明</w:t>
      </w:r>
    </w:p>
    <w:p w:rsidR="00C274C8" w:rsidRDefault="00F611D3">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lastRenderedPageBreak/>
        <w:t>机关运行经费包括定额公用经费</w:t>
      </w:r>
      <w:r w:rsidR="0092203F">
        <w:rPr>
          <w:rFonts w:ascii="仿宋" w:eastAsia="仿宋" w:hAnsi="仿宋" w:cs="仿宋" w:hint="eastAsia"/>
          <w:color w:val="000000"/>
          <w:kern w:val="0"/>
          <w:sz w:val="30"/>
          <w:szCs w:val="30"/>
        </w:rPr>
        <w:t>34.5</w:t>
      </w:r>
      <w:r>
        <w:rPr>
          <w:rFonts w:ascii="仿宋" w:eastAsia="仿宋" w:hAnsi="仿宋" w:cs="仿宋" w:hint="eastAsia"/>
          <w:color w:val="000000"/>
          <w:kern w:val="0"/>
          <w:sz w:val="30"/>
          <w:szCs w:val="30"/>
        </w:rPr>
        <w:t>万元。比上年增加9</w:t>
      </w:r>
      <w:r>
        <w:rPr>
          <w:rFonts w:ascii="仿宋" w:eastAsia="仿宋" w:hAnsi="仿宋" w:cs="仿宋"/>
          <w:color w:val="000000"/>
          <w:kern w:val="0"/>
          <w:sz w:val="30"/>
          <w:szCs w:val="30"/>
        </w:rPr>
        <w:t>.54</w:t>
      </w:r>
      <w:r>
        <w:rPr>
          <w:rFonts w:ascii="仿宋" w:eastAsia="仿宋" w:hAnsi="仿宋" w:cs="仿宋" w:hint="eastAsia"/>
          <w:color w:val="000000"/>
          <w:kern w:val="0"/>
          <w:sz w:val="30"/>
          <w:szCs w:val="30"/>
        </w:rPr>
        <w:t>万元。主要是增加了两个事业单位的定额公用经费。</w:t>
      </w:r>
    </w:p>
    <w:p w:rsidR="00C274C8" w:rsidRDefault="00F611D3">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四、政府采购情况说明</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高新区校服采购项目</w:t>
      </w:r>
      <w:r>
        <w:rPr>
          <w:rFonts w:ascii="仿宋" w:eastAsia="仿宋" w:hAnsi="仿宋" w:cs="仿宋"/>
          <w:color w:val="000000"/>
          <w:kern w:val="0"/>
          <w:sz w:val="30"/>
          <w:szCs w:val="30"/>
        </w:rPr>
        <w:t>500</w:t>
      </w:r>
      <w:r>
        <w:rPr>
          <w:rFonts w:ascii="仿宋" w:eastAsia="仿宋" w:hAnsi="仿宋" w:cs="仿宋" w:hint="eastAsia"/>
          <w:color w:val="000000"/>
          <w:kern w:val="0"/>
          <w:sz w:val="30"/>
          <w:szCs w:val="30"/>
        </w:rPr>
        <w:t>万。</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五、政府性基金收支预算情况</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政府性基金预算收支0</w:t>
      </w:r>
      <w:r>
        <w:rPr>
          <w:rFonts w:ascii="仿宋" w:eastAsia="仿宋" w:hAnsi="仿宋" w:cs="仿宋"/>
          <w:color w:val="000000"/>
          <w:kern w:val="0"/>
          <w:sz w:val="30"/>
          <w:szCs w:val="30"/>
        </w:rPr>
        <w:t>.09</w:t>
      </w:r>
      <w:r>
        <w:rPr>
          <w:rFonts w:ascii="仿宋" w:eastAsia="仿宋" w:hAnsi="仿宋" w:cs="仿宋" w:hint="eastAsia"/>
          <w:color w:val="000000"/>
          <w:kern w:val="0"/>
          <w:sz w:val="30"/>
          <w:szCs w:val="30"/>
        </w:rPr>
        <w:t>万元。</w:t>
      </w:r>
    </w:p>
    <w:p w:rsidR="00C274C8" w:rsidRDefault="00F611D3">
      <w:pPr>
        <w:spacing w:line="330" w:lineRule="atLeast"/>
        <w:ind w:firstLineChars="200" w:firstLine="600"/>
        <w:rPr>
          <w:rFonts w:ascii="仿宋" w:eastAsia="仿宋" w:hAnsi="仿宋" w:cs="仿宋"/>
          <w:kern w:val="0"/>
          <w:sz w:val="30"/>
          <w:szCs w:val="30"/>
        </w:rPr>
      </w:pPr>
      <w:r>
        <w:rPr>
          <w:rFonts w:ascii="仿宋" w:eastAsia="仿宋" w:hAnsi="仿宋" w:cs="仿宋" w:hint="eastAsia"/>
          <w:kern w:val="0"/>
          <w:sz w:val="30"/>
          <w:szCs w:val="30"/>
        </w:rPr>
        <w:t>六、国有资产占有使用情况说明</w:t>
      </w:r>
    </w:p>
    <w:p w:rsidR="00C274C8" w:rsidRDefault="00F611D3">
      <w:pPr>
        <w:spacing w:line="330" w:lineRule="atLeast"/>
        <w:ind w:firstLineChars="200" w:firstLine="600"/>
        <w:rPr>
          <w:rFonts w:ascii="仿宋" w:eastAsia="仿宋" w:hAnsi="仿宋" w:cs="仿宋"/>
          <w:kern w:val="0"/>
          <w:sz w:val="30"/>
          <w:szCs w:val="30"/>
        </w:rPr>
      </w:pPr>
      <w:r>
        <w:rPr>
          <w:rFonts w:ascii="仿宋" w:eastAsia="仿宋" w:hAnsi="仿宋" w:cs="仿宋" w:hint="eastAsia"/>
          <w:kern w:val="0"/>
          <w:sz w:val="30"/>
          <w:szCs w:val="30"/>
        </w:rPr>
        <w:t>国有资产占有使用情况说明为：截至202</w:t>
      </w:r>
      <w:r>
        <w:rPr>
          <w:rFonts w:ascii="仿宋" w:eastAsia="仿宋" w:hAnsi="仿宋" w:cs="仿宋"/>
          <w:kern w:val="0"/>
          <w:sz w:val="30"/>
          <w:szCs w:val="30"/>
        </w:rPr>
        <w:t>3</w:t>
      </w:r>
      <w:r>
        <w:rPr>
          <w:rFonts w:ascii="仿宋" w:eastAsia="仿宋" w:hAnsi="仿宋" w:cs="仿宋" w:hint="eastAsia"/>
          <w:kern w:val="0"/>
          <w:sz w:val="30"/>
          <w:szCs w:val="30"/>
        </w:rPr>
        <w:t>年12月31日，部门（单位）共有车辆0辆；单位价值50万元（含）以上通用设备0台（套）；单位价值100万元以上专用设备0台（套）。</w:t>
      </w:r>
    </w:p>
    <w:p w:rsidR="00C274C8" w:rsidRDefault="00F611D3">
      <w:pPr>
        <w:widowControl/>
        <w:spacing w:line="330" w:lineRule="atLeast"/>
        <w:ind w:firstLineChars="200" w:firstLine="600"/>
        <w:jc w:val="left"/>
        <w:rPr>
          <w:rFonts w:ascii="仿宋" w:eastAsia="仿宋" w:hAnsi="仿宋" w:cs="仿宋"/>
          <w:kern w:val="0"/>
          <w:sz w:val="30"/>
          <w:szCs w:val="30"/>
        </w:rPr>
      </w:pPr>
      <w:r>
        <w:rPr>
          <w:rFonts w:ascii="仿宋" w:eastAsia="仿宋" w:hAnsi="仿宋" w:cs="仿宋" w:hint="eastAsia"/>
          <w:kern w:val="0"/>
          <w:sz w:val="30"/>
          <w:szCs w:val="30"/>
        </w:rPr>
        <w:t>七、预算绩效管理情况</w:t>
      </w:r>
    </w:p>
    <w:p w:rsidR="00C274C8" w:rsidRDefault="00F611D3">
      <w:pPr>
        <w:ind w:firstLineChars="200" w:firstLine="600"/>
        <w:rPr>
          <w:rFonts w:ascii="仿宋" w:eastAsia="仿宋" w:hAnsi="仿宋" w:cs="仿宋"/>
          <w:kern w:val="0"/>
          <w:sz w:val="30"/>
          <w:szCs w:val="30"/>
        </w:rPr>
      </w:pPr>
      <w:r>
        <w:rPr>
          <w:rFonts w:ascii="仿宋" w:eastAsia="仿宋" w:hAnsi="仿宋" w:cs="Verdana"/>
          <w:kern w:val="0"/>
          <w:sz w:val="30"/>
          <w:szCs w:val="30"/>
        </w:rPr>
        <w:t>20</w:t>
      </w:r>
      <w:r>
        <w:rPr>
          <w:rFonts w:ascii="仿宋" w:eastAsia="仿宋" w:hAnsi="仿宋" w:cs="Verdana" w:hint="eastAsia"/>
          <w:kern w:val="0"/>
          <w:sz w:val="30"/>
          <w:szCs w:val="30"/>
        </w:rPr>
        <w:t>2</w:t>
      </w:r>
      <w:r>
        <w:rPr>
          <w:rFonts w:ascii="仿宋" w:eastAsia="仿宋" w:hAnsi="仿宋" w:cs="Verdana"/>
          <w:kern w:val="0"/>
          <w:sz w:val="30"/>
          <w:szCs w:val="30"/>
        </w:rPr>
        <w:t>3</w:t>
      </w:r>
      <w:r>
        <w:rPr>
          <w:rFonts w:ascii="仿宋" w:eastAsia="仿宋" w:hAnsi="仿宋" w:cs="Verdana" w:hint="eastAsia"/>
          <w:kern w:val="0"/>
          <w:sz w:val="30"/>
          <w:szCs w:val="30"/>
        </w:rPr>
        <w:t>年，按照“先有绩效，后有预算”原则，本部门共计编制绩效目标</w:t>
      </w:r>
      <w:r>
        <w:rPr>
          <w:rFonts w:ascii="仿宋" w:eastAsia="仿宋" w:hAnsi="仿宋" w:cs="Verdana"/>
          <w:kern w:val="0"/>
          <w:sz w:val="30"/>
          <w:szCs w:val="30"/>
        </w:rPr>
        <w:t>25</w:t>
      </w:r>
      <w:r>
        <w:rPr>
          <w:rFonts w:ascii="仿宋" w:eastAsia="仿宋" w:hAnsi="仿宋" w:cs="Verdana" w:hint="eastAsia"/>
          <w:kern w:val="0"/>
          <w:sz w:val="30"/>
          <w:szCs w:val="30"/>
        </w:rPr>
        <w:t>个，预算金额18338.64万元，占</w:t>
      </w:r>
      <w:bookmarkStart w:id="0" w:name="_GoBack"/>
      <w:bookmarkEnd w:id="0"/>
      <w:r>
        <w:rPr>
          <w:rFonts w:ascii="仿宋" w:eastAsia="仿宋" w:hAnsi="仿宋" w:cs="Verdana" w:hint="eastAsia"/>
          <w:kern w:val="0"/>
          <w:sz w:val="30"/>
          <w:szCs w:val="30"/>
        </w:rPr>
        <w:t>项目支出预算比重</w:t>
      </w:r>
      <w:r>
        <w:rPr>
          <w:rFonts w:ascii="仿宋" w:eastAsia="仿宋" w:hAnsi="仿宋" w:cs="Verdana"/>
          <w:kern w:val="0"/>
          <w:sz w:val="30"/>
          <w:szCs w:val="30"/>
        </w:rPr>
        <w:t>100%</w:t>
      </w:r>
      <w:r>
        <w:rPr>
          <w:rFonts w:ascii="仿宋" w:eastAsia="仿宋" w:hAnsi="仿宋" w:cs="Verdana" w:hint="eastAsia"/>
          <w:kern w:val="0"/>
          <w:sz w:val="30"/>
          <w:szCs w:val="30"/>
        </w:rPr>
        <w:t>。</w:t>
      </w:r>
    </w:p>
    <w:p w:rsidR="00C274C8" w:rsidRDefault="00F611D3">
      <w:pPr>
        <w:spacing w:line="330" w:lineRule="atLeast"/>
        <w:ind w:firstLineChars="200" w:firstLine="600"/>
        <w:rPr>
          <w:rFonts w:ascii="仿宋" w:eastAsia="仿宋" w:hAnsi="仿宋" w:cs="仿宋"/>
          <w:kern w:val="0"/>
          <w:sz w:val="30"/>
          <w:szCs w:val="30"/>
        </w:rPr>
      </w:pPr>
      <w:r>
        <w:rPr>
          <w:rFonts w:ascii="仿宋" w:eastAsia="仿宋" w:hAnsi="仿宋" w:cs="仿宋" w:hint="eastAsia"/>
          <w:kern w:val="0"/>
          <w:sz w:val="30"/>
          <w:szCs w:val="30"/>
        </w:rPr>
        <w:t>八、</w:t>
      </w:r>
      <w:r>
        <w:rPr>
          <w:rFonts w:ascii="仿宋" w:eastAsia="仿宋" w:hAnsi="仿宋" w:cs="宋体" w:hint="eastAsia"/>
          <w:kern w:val="0"/>
          <w:sz w:val="30"/>
          <w:szCs w:val="30"/>
        </w:rPr>
        <w:t>文物看护费（区级配套）专项资金</w:t>
      </w:r>
      <w:r>
        <w:rPr>
          <w:rFonts w:ascii="仿宋" w:eastAsia="仿宋" w:hAnsi="仿宋" w:cs="仿宋" w:hint="eastAsia"/>
          <w:kern w:val="0"/>
          <w:sz w:val="30"/>
          <w:szCs w:val="30"/>
        </w:rPr>
        <w:t>情况说明</w:t>
      </w:r>
    </w:p>
    <w:p w:rsidR="00C274C8" w:rsidRDefault="00F611D3">
      <w:pPr>
        <w:numPr>
          <w:ilvl w:val="0"/>
          <w:numId w:val="1"/>
        </w:numPr>
        <w:rPr>
          <w:rFonts w:ascii="仿宋" w:eastAsia="仿宋" w:hAnsi="仿宋" w:cs="仿宋"/>
          <w:sz w:val="32"/>
          <w:szCs w:val="32"/>
        </w:rPr>
      </w:pPr>
      <w:r>
        <w:rPr>
          <w:rFonts w:ascii="仿宋" w:eastAsia="仿宋" w:hAnsi="仿宋" w:cs="仿宋" w:hint="eastAsia"/>
          <w:sz w:val="32"/>
          <w:szCs w:val="32"/>
        </w:rPr>
        <w:t>项目概述</w:t>
      </w:r>
    </w:p>
    <w:p w:rsidR="00C274C8" w:rsidRDefault="00F611D3">
      <w:pPr>
        <w:rPr>
          <w:rFonts w:ascii="仿宋" w:eastAsia="仿宋_GB2312" w:hAnsi="仿宋" w:cs="仿宋"/>
          <w:sz w:val="32"/>
          <w:szCs w:val="32"/>
        </w:rPr>
      </w:pPr>
      <w:r>
        <w:rPr>
          <w:rFonts w:ascii="仿宋_GB2312" w:eastAsia="仿宋_GB2312" w:hAnsi="仿宋" w:cs="仿宋" w:hint="eastAsia"/>
          <w:sz w:val="32"/>
          <w:szCs w:val="32"/>
        </w:rPr>
        <w:t>各区市县文物行政主管部门于每年8月底前上报属地文物保护单位数量变化情况，市文物局根据各地文物保护单位数量情况核算专项资金报市财政局审核后纳入下年度预算。看护补助资金标准为市级及以上文物保护单位4600元/年·处，目前我区有1处市级以上文物保护单位。</w:t>
      </w:r>
    </w:p>
    <w:p w:rsidR="00C274C8" w:rsidRDefault="00F611D3">
      <w:pPr>
        <w:numPr>
          <w:ilvl w:val="0"/>
          <w:numId w:val="2"/>
        </w:numPr>
        <w:rPr>
          <w:rFonts w:ascii="仿宋" w:eastAsia="仿宋" w:hAnsi="仿宋" w:cs="仿宋"/>
          <w:sz w:val="32"/>
          <w:szCs w:val="32"/>
        </w:rPr>
      </w:pPr>
      <w:r>
        <w:rPr>
          <w:rFonts w:ascii="仿宋" w:eastAsia="仿宋" w:hAnsi="仿宋" w:cs="仿宋" w:hint="eastAsia"/>
          <w:sz w:val="32"/>
          <w:szCs w:val="32"/>
        </w:rPr>
        <w:t>立项依据</w:t>
      </w:r>
    </w:p>
    <w:p w:rsidR="00C274C8" w:rsidRDefault="00F611D3">
      <w:pPr>
        <w:rPr>
          <w:rFonts w:ascii="仿宋_GB2312" w:eastAsia="仿宋_GB2312" w:hAnsi="仿宋" w:cs="仿宋"/>
          <w:sz w:val="32"/>
          <w:szCs w:val="32"/>
        </w:rPr>
      </w:pPr>
      <w:r>
        <w:rPr>
          <w:rFonts w:ascii="仿宋_GB2312" w:eastAsia="仿宋_GB2312" w:hAnsi="仿宋" w:cs="仿宋" w:hint="eastAsia"/>
          <w:sz w:val="32"/>
          <w:szCs w:val="32"/>
        </w:rPr>
        <w:lastRenderedPageBreak/>
        <w:t>为进一步规范文物保护单位的看护工作，根据</w:t>
      </w:r>
      <w:r>
        <w:rPr>
          <w:rFonts w:ascii="仿宋_GB2312" w:eastAsia="仿宋_GB2312" w:hAnsi="仿宋_GB2312" w:cs="仿宋_GB2312" w:hint="eastAsia"/>
          <w:sz w:val="32"/>
          <w:szCs w:val="32"/>
        </w:rPr>
        <w:t>《中华人民共和国预算法》</w:t>
      </w:r>
      <w:r>
        <w:rPr>
          <w:rFonts w:ascii="仿宋_GB2312" w:eastAsia="仿宋_GB2312" w:hAnsi="仿宋" w:cs="仿宋" w:hint="eastAsia"/>
          <w:sz w:val="32"/>
          <w:szCs w:val="32"/>
        </w:rPr>
        <w:t>《中华人民共和国文物保护法》《中华人民共和国文物保护法实施条例》《国务院关于进一步加强文物工作的指导意见》《辽宁省人民政府关于进一步加强文物工作的实施意见》《大连市人民政府关于进一步加强文物工作的实施意见》</w:t>
      </w:r>
    </w:p>
    <w:p w:rsidR="00C274C8" w:rsidRDefault="00F611D3">
      <w:pPr>
        <w:rPr>
          <w:rFonts w:ascii="仿宋" w:eastAsia="仿宋" w:hAnsi="仿宋" w:cs="仿宋"/>
          <w:sz w:val="32"/>
          <w:szCs w:val="32"/>
        </w:rPr>
      </w:pPr>
      <w:r>
        <w:rPr>
          <w:rFonts w:ascii="仿宋" w:eastAsia="仿宋" w:hAnsi="仿宋" w:cs="仿宋" w:hint="eastAsia"/>
          <w:sz w:val="32"/>
          <w:szCs w:val="32"/>
        </w:rPr>
        <w:t>3.实施主体</w:t>
      </w:r>
    </w:p>
    <w:p w:rsidR="00C274C8" w:rsidRDefault="00F611D3">
      <w:pPr>
        <w:rPr>
          <w:rFonts w:ascii="仿宋" w:eastAsia="仿宋" w:hAnsi="仿宋" w:cs="仿宋"/>
          <w:sz w:val="32"/>
          <w:szCs w:val="32"/>
        </w:rPr>
      </w:pPr>
      <w:r>
        <w:rPr>
          <w:rFonts w:ascii="仿宋" w:eastAsia="仿宋" w:hAnsi="仿宋" w:cs="仿宋" w:hint="eastAsia"/>
          <w:sz w:val="32"/>
          <w:szCs w:val="32"/>
        </w:rPr>
        <w:t>文物看护专项补助资金组织部门为高新区教育文体局，主要由各街道文物看护人员负责具体实施。</w:t>
      </w:r>
    </w:p>
    <w:p w:rsidR="00C274C8" w:rsidRDefault="00F611D3">
      <w:pPr>
        <w:numPr>
          <w:ilvl w:val="0"/>
          <w:numId w:val="2"/>
        </w:numPr>
        <w:rPr>
          <w:rFonts w:ascii="仿宋" w:eastAsia="仿宋" w:hAnsi="仿宋" w:cs="仿宋"/>
          <w:sz w:val="32"/>
          <w:szCs w:val="32"/>
        </w:rPr>
      </w:pPr>
      <w:r>
        <w:rPr>
          <w:rFonts w:ascii="仿宋" w:eastAsia="仿宋" w:hAnsi="仿宋" w:cs="仿宋" w:hint="eastAsia"/>
          <w:sz w:val="32"/>
          <w:szCs w:val="32"/>
        </w:rPr>
        <w:t>实施方案</w:t>
      </w:r>
    </w:p>
    <w:p w:rsidR="00C274C8" w:rsidRDefault="00F611D3">
      <w:pPr>
        <w:rPr>
          <w:rFonts w:ascii="仿宋" w:eastAsia="仿宋_GB2312" w:hAnsi="仿宋" w:cs="仿宋"/>
          <w:sz w:val="32"/>
          <w:szCs w:val="32"/>
        </w:rPr>
      </w:pPr>
      <w:r>
        <w:rPr>
          <w:rFonts w:ascii="仿宋_GB2312" w:eastAsia="仿宋_GB2312" w:hAnsi="仿宋" w:cs="仿宋" w:hint="eastAsia"/>
          <w:sz w:val="32"/>
          <w:szCs w:val="32"/>
        </w:rPr>
        <w:t>看护人由各区市县文物行政主管部门负责选聘，并与之签订文物保护单位看护协议书。看护人应符合18周岁以上，65周岁以下，身体健康，具有日常看护和检查巡查工作能力条件；居住地距离看护的文物保护单位较近，且热爱文物保护工作；责任心强，具有高中以上文化水平，无违法犯罪记录；熟悉《中华人民共和国文物保护法》等文物保护相关法律法规和规章制度；积极向周边生活居住、作业人员宣传、提示在日常使用时要依法履行文物保护义务，不改变文物的原状，</w:t>
      </w:r>
      <w:proofErr w:type="gramStart"/>
      <w:r>
        <w:rPr>
          <w:rFonts w:ascii="仿宋_GB2312" w:eastAsia="仿宋_GB2312" w:hAnsi="仿宋" w:cs="仿宋" w:hint="eastAsia"/>
          <w:sz w:val="32"/>
          <w:szCs w:val="32"/>
        </w:rPr>
        <w:t>不</w:t>
      </w:r>
      <w:proofErr w:type="gramEnd"/>
      <w:r>
        <w:rPr>
          <w:rFonts w:ascii="仿宋_GB2312" w:eastAsia="仿宋_GB2312" w:hAnsi="仿宋" w:cs="仿宋" w:hint="eastAsia"/>
          <w:sz w:val="32"/>
          <w:szCs w:val="32"/>
        </w:rPr>
        <w:t>损毁、改建、添建和进行有损于文物环境风貌的建设，文物修缮要符合相关法律规范，自觉提高文物保护意识；每月上中下旬至少各一次对所看护的文物保护单位进行一次巡视，查看文物周边是否存在易燃、易爆和有腐蚀性的物品以</w:t>
      </w:r>
      <w:r>
        <w:rPr>
          <w:rFonts w:ascii="仿宋_GB2312" w:eastAsia="仿宋_GB2312" w:hAnsi="仿宋" w:cs="仿宋" w:hint="eastAsia"/>
          <w:sz w:val="32"/>
          <w:szCs w:val="32"/>
        </w:rPr>
        <w:lastRenderedPageBreak/>
        <w:t>及火源、电源等安全隐患，保护范围和建设控制地带内是否有违法施工建设等，并对巡视情况予以记录，上报巡视位置信息、文物外表及四周照片和巡查记录报表等；及时发现并向属地文物行政主管部门或派出所报告破坏文物的违法行为，对突发事件采取必要的应急处置措施；看护人有权参加相关业务培训。因履行职责受到打击报复等侵害时，有权向文物部门申请支持和帮助。各区市县文物行政主管部门要指派专人负责对文物保护单位看护人的管理，汇总整理上报看护信息，不定期检查看护人的看护工作情况，并根据看护情况合理调整看护人员。</w:t>
      </w:r>
    </w:p>
    <w:p w:rsidR="00C274C8" w:rsidRDefault="00F611D3">
      <w:pPr>
        <w:rPr>
          <w:rFonts w:ascii="仿宋" w:eastAsia="仿宋" w:hAnsi="仿宋" w:cs="仿宋"/>
          <w:sz w:val="32"/>
          <w:szCs w:val="32"/>
        </w:rPr>
      </w:pPr>
      <w:r>
        <w:rPr>
          <w:rFonts w:ascii="仿宋" w:eastAsia="仿宋" w:hAnsi="仿宋" w:cs="仿宋" w:hint="eastAsia"/>
          <w:sz w:val="32"/>
          <w:szCs w:val="32"/>
        </w:rPr>
        <w:t>5.实施周期</w:t>
      </w:r>
    </w:p>
    <w:p w:rsidR="00C274C8" w:rsidRDefault="00F611D3">
      <w:pPr>
        <w:rPr>
          <w:rFonts w:ascii="仿宋" w:eastAsia="仿宋" w:hAnsi="仿宋" w:cs="仿宋"/>
          <w:sz w:val="32"/>
          <w:szCs w:val="32"/>
        </w:rPr>
      </w:pPr>
      <w:r>
        <w:rPr>
          <w:rFonts w:ascii="仿宋" w:eastAsia="仿宋" w:hAnsi="仿宋" w:cs="仿宋" w:hint="eastAsia"/>
          <w:sz w:val="32"/>
          <w:szCs w:val="32"/>
        </w:rPr>
        <w:t>项目起止时间为2023年1月1日到2023年12月31日。</w:t>
      </w:r>
    </w:p>
    <w:p w:rsidR="00C274C8" w:rsidRDefault="00F611D3">
      <w:pPr>
        <w:rPr>
          <w:rFonts w:ascii="仿宋" w:eastAsia="仿宋" w:hAnsi="仿宋" w:cs="仿宋"/>
          <w:sz w:val="32"/>
          <w:szCs w:val="32"/>
        </w:rPr>
      </w:pPr>
      <w:r>
        <w:rPr>
          <w:rFonts w:ascii="仿宋" w:eastAsia="仿宋" w:hAnsi="仿宋" w:cs="仿宋" w:hint="eastAsia"/>
          <w:sz w:val="32"/>
          <w:szCs w:val="32"/>
        </w:rPr>
        <w:t>6.年度预算安排</w:t>
      </w:r>
    </w:p>
    <w:p w:rsidR="00C274C8" w:rsidRDefault="00F611D3">
      <w:pPr>
        <w:rPr>
          <w:rFonts w:ascii="仿宋" w:eastAsia="仿宋" w:hAnsi="仿宋" w:cs="仿宋"/>
          <w:sz w:val="32"/>
          <w:szCs w:val="32"/>
        </w:rPr>
      </w:pPr>
      <w:r>
        <w:rPr>
          <w:rFonts w:ascii="仿宋" w:eastAsia="仿宋" w:hAnsi="仿宋" w:cs="仿宋" w:hint="eastAsia"/>
          <w:sz w:val="32"/>
          <w:szCs w:val="32"/>
        </w:rPr>
        <w:t>2023年拟安排该项目预算</w:t>
      </w:r>
      <w:r>
        <w:rPr>
          <w:rFonts w:ascii="仿宋" w:eastAsia="仿宋" w:hAnsi="仿宋" w:cs="仿宋"/>
          <w:sz w:val="32"/>
          <w:szCs w:val="32"/>
        </w:rPr>
        <w:t>1.06</w:t>
      </w:r>
      <w:r>
        <w:rPr>
          <w:rFonts w:ascii="仿宋" w:eastAsia="仿宋" w:hAnsi="仿宋" w:cs="仿宋" w:hint="eastAsia"/>
          <w:sz w:val="32"/>
          <w:szCs w:val="32"/>
        </w:rPr>
        <w:t>万元。</w:t>
      </w:r>
    </w:p>
    <w:p w:rsidR="00C274C8" w:rsidRDefault="00C274C8">
      <w:pPr>
        <w:spacing w:line="330" w:lineRule="atLeast"/>
        <w:rPr>
          <w:rFonts w:ascii="仿宋" w:eastAsia="仿宋" w:hAnsi="仿宋" w:cs="仿宋"/>
          <w:kern w:val="0"/>
          <w:sz w:val="30"/>
          <w:szCs w:val="30"/>
        </w:rPr>
      </w:pP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第三部分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名词解释</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w:t>
      </w:r>
      <w:r>
        <w:rPr>
          <w:rFonts w:ascii="仿宋" w:eastAsia="仿宋" w:hAnsi="仿宋" w:cs="仿宋" w:hint="eastAsia"/>
          <w:color w:val="000000"/>
          <w:kern w:val="0"/>
          <w:sz w:val="30"/>
          <w:szCs w:val="30"/>
        </w:rPr>
        <w:t>财政拨款收入：指市财政当年拨付的资金。</w:t>
      </w:r>
      <w:r>
        <w:rPr>
          <w:rFonts w:ascii="仿宋" w:eastAsia="仿宋" w:hAnsi="仿宋" w:cs="仿宋"/>
          <w:color w:val="000000"/>
          <w:kern w:val="0"/>
          <w:sz w:val="30"/>
          <w:szCs w:val="30"/>
        </w:rPr>
        <w:t xml:space="preserve"> </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2.</w:t>
      </w:r>
      <w:r>
        <w:rPr>
          <w:rFonts w:ascii="仿宋" w:eastAsia="仿宋" w:hAnsi="仿宋" w:cs="仿宋" w:hint="eastAsia"/>
          <w:color w:val="000000"/>
          <w:kern w:val="0"/>
          <w:sz w:val="30"/>
          <w:szCs w:val="30"/>
        </w:rPr>
        <w:t>其他收入：指除“财政拨款收入”、“财政专户拨款收入”等以外的收入，包括事业单位经营性收入、上级补助收入、附属单位上缴收入等。</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3.</w:t>
      </w:r>
      <w:r>
        <w:rPr>
          <w:rFonts w:ascii="仿宋" w:eastAsia="仿宋" w:hAnsi="仿宋" w:cs="仿宋" w:hint="eastAsia"/>
          <w:color w:val="000000"/>
          <w:kern w:val="0"/>
          <w:sz w:val="30"/>
          <w:szCs w:val="30"/>
        </w:rPr>
        <w:t>基本支出：指为保障机构正常运转、完成日常工作任务而发生的人员支出和公用支出。</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lastRenderedPageBreak/>
        <w:t>4.</w:t>
      </w:r>
      <w:r>
        <w:rPr>
          <w:rFonts w:ascii="仿宋" w:eastAsia="仿宋" w:hAnsi="仿宋" w:cs="仿宋" w:hint="eastAsia"/>
          <w:color w:val="000000"/>
          <w:kern w:val="0"/>
          <w:sz w:val="30"/>
          <w:szCs w:val="30"/>
        </w:rPr>
        <w:t>项目支出：指在基本支出之外为完成特定行政任务和事业发展目标所发生的支出。</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5.</w:t>
      </w:r>
      <w:r>
        <w:rPr>
          <w:rFonts w:ascii="仿宋" w:eastAsia="仿宋" w:hAnsi="仿宋" w:cs="仿宋" w:hint="eastAsia"/>
          <w:color w:val="000000"/>
          <w:kern w:val="0"/>
          <w:sz w:val="30"/>
          <w:szCs w:val="30"/>
        </w:rPr>
        <w:t>“三公”经费：指用财政拨款安排的因公出国（境）费、公务用车购置及运行费和公务接待费。其中，因公出国（境）</w:t>
      </w:r>
      <w:proofErr w:type="gramStart"/>
      <w:r>
        <w:rPr>
          <w:rFonts w:ascii="仿宋" w:eastAsia="仿宋" w:hAnsi="仿宋" w:cs="仿宋" w:hint="eastAsia"/>
          <w:color w:val="000000"/>
          <w:kern w:val="0"/>
          <w:sz w:val="30"/>
          <w:szCs w:val="30"/>
        </w:rPr>
        <w:t>费反映</w:t>
      </w:r>
      <w:proofErr w:type="gramEnd"/>
      <w:r>
        <w:rPr>
          <w:rFonts w:ascii="仿宋" w:eastAsia="仿宋" w:hAnsi="仿宋" w:cs="仿宋" w:hint="eastAsia"/>
          <w:color w:val="000000"/>
          <w:kern w:val="0"/>
          <w:sz w:val="30"/>
          <w:szCs w:val="30"/>
        </w:rPr>
        <w:t>单位公务出国（境）的住宿费、旅费、伙食补助费、杂费、培训费等支出；公务用车购置及运行</w:t>
      </w:r>
      <w:proofErr w:type="gramStart"/>
      <w:r>
        <w:rPr>
          <w:rFonts w:ascii="仿宋" w:eastAsia="仿宋" w:hAnsi="仿宋" w:cs="仿宋" w:hint="eastAsia"/>
          <w:color w:val="000000"/>
          <w:kern w:val="0"/>
          <w:sz w:val="30"/>
          <w:szCs w:val="30"/>
        </w:rPr>
        <w:t>费反映</w:t>
      </w:r>
      <w:proofErr w:type="gramEnd"/>
      <w:r>
        <w:rPr>
          <w:rFonts w:ascii="仿宋" w:eastAsia="仿宋" w:hAnsi="仿宋" w:cs="仿宋" w:hint="eastAsia"/>
          <w:color w:val="000000"/>
          <w:kern w:val="0"/>
          <w:sz w:val="30"/>
          <w:szCs w:val="30"/>
        </w:rPr>
        <w:t>单位公务用车购置费及租用费、燃料费、维修费、过路过桥费、保险费、安全奖励费用等支出；公务接待</w:t>
      </w:r>
      <w:proofErr w:type="gramStart"/>
      <w:r>
        <w:rPr>
          <w:rFonts w:ascii="仿宋" w:eastAsia="仿宋" w:hAnsi="仿宋" w:cs="仿宋" w:hint="eastAsia"/>
          <w:color w:val="000000"/>
          <w:kern w:val="0"/>
          <w:sz w:val="30"/>
          <w:szCs w:val="30"/>
        </w:rPr>
        <w:t>费反映</w:t>
      </w:r>
      <w:proofErr w:type="gramEnd"/>
      <w:r>
        <w:rPr>
          <w:rFonts w:ascii="仿宋" w:eastAsia="仿宋" w:hAnsi="仿宋" w:cs="仿宋" w:hint="eastAsia"/>
          <w:color w:val="000000"/>
          <w:kern w:val="0"/>
          <w:sz w:val="30"/>
          <w:szCs w:val="30"/>
        </w:rPr>
        <w:t>单位按规定开支的各类公务接待（含外宾接待）支出。</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6.</w:t>
      </w:r>
      <w:r>
        <w:rPr>
          <w:rFonts w:ascii="仿宋" w:eastAsia="仿宋" w:hAnsi="仿宋" w:cs="仿宋" w:hint="eastAsia"/>
          <w:color w:val="000000"/>
          <w:kern w:val="0"/>
          <w:sz w:val="30"/>
          <w:szCs w:val="30"/>
        </w:rPr>
        <w:t>一般公共服务（类）财政事务（款）行政运行（项）：反映行政单位（包括实行公务员管理的事业单位）的基本支出。</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7.</w:t>
      </w:r>
      <w:r>
        <w:rPr>
          <w:rFonts w:ascii="仿宋" w:eastAsia="仿宋" w:hAnsi="仿宋" w:cs="仿宋" w:hint="eastAsia"/>
          <w:color w:val="000000"/>
          <w:kern w:val="0"/>
          <w:sz w:val="30"/>
          <w:szCs w:val="30"/>
        </w:rPr>
        <w:t>一般公共服务（类）财政事务（款）一般行政管理事务（项）：反映行政单位（包括实行公务员管理的事业单位）未单独设置项级科目的其他项目支出。</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8</w:t>
      </w:r>
      <w:r>
        <w:rPr>
          <w:rFonts w:ascii="仿宋" w:eastAsia="仿宋" w:hAnsi="仿宋" w:cs="仿宋" w:hint="eastAsia"/>
          <w:color w:val="000000"/>
          <w:kern w:val="0"/>
          <w:sz w:val="30"/>
          <w:szCs w:val="30"/>
        </w:rPr>
        <w:t>一般公共服务（类）财政事务（款）信息化建设（项）：反映财政部</w:t>
      </w:r>
      <w:proofErr w:type="gramStart"/>
      <w:r>
        <w:rPr>
          <w:rFonts w:ascii="仿宋" w:eastAsia="仿宋" w:hAnsi="仿宋" w:cs="仿宋" w:hint="eastAsia"/>
          <w:color w:val="000000"/>
          <w:kern w:val="0"/>
          <w:sz w:val="30"/>
          <w:szCs w:val="30"/>
        </w:rPr>
        <w:t>门用于</w:t>
      </w:r>
      <w:proofErr w:type="gramEnd"/>
      <w:r>
        <w:rPr>
          <w:rFonts w:ascii="仿宋" w:eastAsia="仿宋" w:hAnsi="仿宋" w:cs="仿宋" w:hint="eastAsia"/>
          <w:color w:val="000000"/>
          <w:kern w:val="0"/>
          <w:sz w:val="30"/>
          <w:szCs w:val="30"/>
        </w:rPr>
        <w:t>“金财工程”等信息化建设方面的支出。</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9.</w:t>
      </w:r>
      <w:r>
        <w:rPr>
          <w:rFonts w:ascii="仿宋" w:eastAsia="仿宋" w:hAnsi="仿宋" w:cs="仿宋" w:hint="eastAsia"/>
          <w:color w:val="000000"/>
          <w:kern w:val="0"/>
          <w:sz w:val="30"/>
          <w:szCs w:val="30"/>
        </w:rPr>
        <w:t>一般公共服务（类）财政事务（款）财政委托业务支出（项）：反映财政委托评审机构进行财政投资评审和委托建设银行等机构代理业务发生的支出。</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10. </w:t>
      </w:r>
      <w:r>
        <w:rPr>
          <w:rFonts w:ascii="仿宋" w:eastAsia="仿宋" w:hAnsi="仿宋" w:cs="仿宋" w:hint="eastAsia"/>
          <w:color w:val="000000"/>
          <w:kern w:val="0"/>
          <w:sz w:val="30"/>
          <w:szCs w:val="30"/>
        </w:rPr>
        <w:t>一般公共服务（类）财政事务（款）事业运行（项）：反映事业单位的基本支出，不包括行政单位（包括实行公务员管理的事业单位）后勤服务中心、医务室等附属事业单位。</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lastRenderedPageBreak/>
        <w:t xml:space="preserve">11. </w:t>
      </w:r>
      <w:r>
        <w:rPr>
          <w:rFonts w:ascii="仿宋" w:eastAsia="仿宋" w:hAnsi="仿宋" w:cs="仿宋" w:hint="eastAsia"/>
          <w:color w:val="000000"/>
          <w:kern w:val="0"/>
          <w:sz w:val="30"/>
          <w:szCs w:val="30"/>
        </w:rPr>
        <w:t>一般公共服务（类）财政事务（款）其他财政事务支出（项）：反映其他财政事务方面的支出。</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12</w:t>
      </w:r>
      <w:r>
        <w:rPr>
          <w:rFonts w:ascii="仿宋" w:eastAsia="仿宋" w:hAnsi="仿宋" w:cs="仿宋" w:hint="eastAsia"/>
          <w:color w:val="000000"/>
          <w:kern w:val="0"/>
          <w:sz w:val="30"/>
          <w:szCs w:val="30"/>
        </w:rPr>
        <w:t>．教育支出（类）其他教育支出（款）其他教育支出（项）：反映其他用于教育方面的支出。</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13. </w:t>
      </w:r>
      <w:r>
        <w:rPr>
          <w:rFonts w:ascii="仿宋" w:eastAsia="仿宋" w:hAnsi="仿宋" w:cs="仿宋" w:hint="eastAsia"/>
          <w:color w:val="000000"/>
          <w:kern w:val="0"/>
          <w:sz w:val="30"/>
          <w:szCs w:val="30"/>
        </w:rPr>
        <w:t>社会保障和就业（类）行政事业单位离退休（款）归口管理的行政单位离退休（项）：反映实行归口管理的行政单位（包括实行公务员管理的事业单位）开支的离退休经费。</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14. </w:t>
      </w:r>
      <w:r>
        <w:rPr>
          <w:rFonts w:ascii="仿宋" w:eastAsia="仿宋" w:hAnsi="仿宋" w:cs="仿宋" w:hint="eastAsia"/>
          <w:color w:val="000000"/>
          <w:kern w:val="0"/>
          <w:sz w:val="30"/>
          <w:szCs w:val="30"/>
        </w:rPr>
        <w:t>社会保障和就业（类）行政事业单位离退休（款）机关事业单位基本养老保险缴费支出（项）：反映机关事业单位实施养老保险制度由单位缴纳的基本养老保险费支出。</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15.</w:t>
      </w:r>
      <w:r>
        <w:rPr>
          <w:rFonts w:ascii="仿宋" w:eastAsia="仿宋" w:hAnsi="仿宋" w:cs="仿宋" w:hint="eastAsia"/>
          <w:color w:val="000000"/>
          <w:kern w:val="0"/>
          <w:sz w:val="30"/>
          <w:szCs w:val="30"/>
        </w:rPr>
        <w:t>医疗卫生与计划生育（类）医疗保障（款）行政单位医疗（项）：反映财政部门集中安排的行政单位基本医疗保险缴费经费，未参加医疗保险的行政单位的公费医疗经费，按国家规定享受离休人员、红军老战士待遇人员的医疗经费。</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16.</w:t>
      </w:r>
      <w:r>
        <w:rPr>
          <w:rFonts w:ascii="仿宋" w:eastAsia="仿宋" w:hAnsi="仿宋" w:cs="仿宋" w:hint="eastAsia"/>
          <w:color w:val="000000"/>
          <w:kern w:val="0"/>
          <w:sz w:val="30"/>
          <w:szCs w:val="30"/>
        </w:rPr>
        <w:t>医疗卫生与计划生育（类）医疗保障（款）事业单位医疗（项）：反映财政部门集中安排的事业单位基本医疗保险缴费经费，未参加医疗保险的事业单位的公费医疗经费，按国家规定享受离休人员待遇人员的医疗经费。</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17.</w:t>
      </w:r>
      <w:r>
        <w:rPr>
          <w:rFonts w:ascii="仿宋" w:eastAsia="仿宋" w:hAnsi="仿宋" w:cs="仿宋" w:hint="eastAsia"/>
          <w:color w:val="000000"/>
          <w:kern w:val="0"/>
          <w:sz w:val="30"/>
          <w:szCs w:val="30"/>
        </w:rPr>
        <w:t>住房保障（类）住房改革（款）住房公积金（项）：反映行政事业单位按人力资源和社会保障部、财政部规定的基本工资和津贴补贴以及规定比例为职工缴纳的住房公积金。</w:t>
      </w:r>
    </w:p>
    <w:p w:rsidR="00C274C8" w:rsidRDefault="00F611D3">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lastRenderedPageBreak/>
        <w:t>18.</w:t>
      </w:r>
      <w:r>
        <w:rPr>
          <w:rFonts w:ascii="仿宋" w:eastAsia="仿宋" w:hAnsi="仿宋" w:cs="仿宋" w:hint="eastAsia"/>
          <w:color w:val="000000"/>
          <w:kern w:val="0"/>
          <w:sz w:val="30"/>
          <w:szCs w:val="30"/>
        </w:rPr>
        <w:t>机关运行经费。是指各部门的公用经费，包括办公及印刷费、邮电费、会议费、福利费、日常维修费、专用材料及一般设备购置费、办公用房水电费、办公用房取暖费、办公用房物业管理费、公务用车运行维护费以及其他费用。</w:t>
      </w:r>
    </w:p>
    <w:p w:rsidR="00C274C8" w:rsidRDefault="00F611D3">
      <w:pPr>
        <w:spacing w:line="600" w:lineRule="exact"/>
        <w:rPr>
          <w:rFonts w:ascii="仿宋" w:eastAsia="仿宋" w:hAnsi="仿宋"/>
          <w:sz w:val="30"/>
          <w:szCs w:val="30"/>
        </w:rPr>
      </w:pPr>
      <w:r>
        <w:rPr>
          <w:rFonts w:ascii="仿宋" w:eastAsia="仿宋" w:hAnsi="仿宋" w:cs="仿宋"/>
          <w:sz w:val="30"/>
          <w:szCs w:val="30"/>
        </w:rPr>
        <w:t xml:space="preserve">                                     2023</w:t>
      </w:r>
      <w:r>
        <w:rPr>
          <w:rFonts w:ascii="仿宋" w:eastAsia="仿宋" w:hAnsi="仿宋" w:cs="仿宋" w:hint="eastAsia"/>
          <w:sz w:val="30"/>
          <w:szCs w:val="30"/>
        </w:rPr>
        <w:t>年</w:t>
      </w:r>
      <w:r>
        <w:rPr>
          <w:rFonts w:ascii="仿宋" w:eastAsia="仿宋" w:hAnsi="仿宋" w:cs="仿宋"/>
          <w:sz w:val="30"/>
          <w:szCs w:val="30"/>
        </w:rPr>
        <w:t>2</w:t>
      </w:r>
      <w:r>
        <w:rPr>
          <w:rFonts w:ascii="仿宋" w:eastAsia="仿宋" w:hAnsi="仿宋" w:cs="仿宋" w:hint="eastAsia"/>
          <w:sz w:val="30"/>
          <w:szCs w:val="30"/>
        </w:rPr>
        <w:t>月</w:t>
      </w:r>
      <w:r>
        <w:rPr>
          <w:rFonts w:ascii="仿宋" w:eastAsia="仿宋" w:hAnsi="仿宋" w:cs="仿宋"/>
          <w:sz w:val="30"/>
          <w:szCs w:val="30"/>
        </w:rPr>
        <w:t>13</w:t>
      </w:r>
      <w:r>
        <w:rPr>
          <w:rFonts w:ascii="仿宋" w:eastAsia="仿宋" w:hAnsi="仿宋" w:cs="仿宋" w:hint="eastAsia"/>
          <w:sz w:val="30"/>
          <w:szCs w:val="30"/>
        </w:rPr>
        <w:t>日</w:t>
      </w:r>
    </w:p>
    <w:sectPr w:rsidR="00C274C8">
      <w:pgSz w:w="11906" w:h="16838"/>
      <w:pgMar w:top="1531"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99" w:rsidRDefault="00BE1C99" w:rsidP="0092203F">
      <w:r>
        <w:separator/>
      </w:r>
    </w:p>
  </w:endnote>
  <w:endnote w:type="continuationSeparator" w:id="0">
    <w:p w:rsidR="00BE1C99" w:rsidRDefault="00BE1C99" w:rsidP="0092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99" w:rsidRDefault="00BE1C99" w:rsidP="0092203F">
      <w:r>
        <w:separator/>
      </w:r>
    </w:p>
  </w:footnote>
  <w:footnote w:type="continuationSeparator" w:id="0">
    <w:p w:rsidR="00BE1C99" w:rsidRDefault="00BE1C99" w:rsidP="00922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457D7D"/>
    <w:multiLevelType w:val="singleLevel"/>
    <w:tmpl w:val="CD457D7D"/>
    <w:lvl w:ilvl="0">
      <w:start w:val="2"/>
      <w:numFmt w:val="decimal"/>
      <w:lvlText w:val="%1."/>
      <w:lvlJc w:val="left"/>
      <w:pPr>
        <w:tabs>
          <w:tab w:val="left" w:pos="312"/>
        </w:tabs>
      </w:pPr>
    </w:lvl>
  </w:abstractNum>
  <w:abstractNum w:abstractNumId="1">
    <w:nsid w:val="5A247E4C"/>
    <w:multiLevelType w:val="singleLevel"/>
    <w:tmpl w:val="5A247E4C"/>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1MDgyYjYwNDM0YjcyYWIyNzNiZGM0MDY3OWI1ZWMifQ=="/>
  </w:docVars>
  <w:rsids>
    <w:rsidRoot w:val="00F01060"/>
    <w:rsid w:val="00026E5E"/>
    <w:rsid w:val="0004171C"/>
    <w:rsid w:val="000A0E7F"/>
    <w:rsid w:val="000A76C5"/>
    <w:rsid w:val="000B1FE8"/>
    <w:rsid w:val="000F0E69"/>
    <w:rsid w:val="0010550E"/>
    <w:rsid w:val="00140D43"/>
    <w:rsid w:val="00152DE7"/>
    <w:rsid w:val="0017491B"/>
    <w:rsid w:val="00180CC6"/>
    <w:rsid w:val="00187190"/>
    <w:rsid w:val="001961A4"/>
    <w:rsid w:val="00196C55"/>
    <w:rsid w:val="001B1BDA"/>
    <w:rsid w:val="001C414C"/>
    <w:rsid w:val="001D7A46"/>
    <w:rsid w:val="001E3E93"/>
    <w:rsid w:val="001E4FA0"/>
    <w:rsid w:val="001F3FA9"/>
    <w:rsid w:val="001F787D"/>
    <w:rsid w:val="00212D02"/>
    <w:rsid w:val="002210DC"/>
    <w:rsid w:val="00224868"/>
    <w:rsid w:val="002364E6"/>
    <w:rsid w:val="002435C7"/>
    <w:rsid w:val="0026376F"/>
    <w:rsid w:val="00264775"/>
    <w:rsid w:val="00264838"/>
    <w:rsid w:val="00266DCF"/>
    <w:rsid w:val="002751C6"/>
    <w:rsid w:val="00276B7E"/>
    <w:rsid w:val="0027776A"/>
    <w:rsid w:val="002840A0"/>
    <w:rsid w:val="002A3B9D"/>
    <w:rsid w:val="002D3804"/>
    <w:rsid w:val="002E340D"/>
    <w:rsid w:val="002F06B5"/>
    <w:rsid w:val="002F1721"/>
    <w:rsid w:val="002F2AD8"/>
    <w:rsid w:val="002F5830"/>
    <w:rsid w:val="0032799C"/>
    <w:rsid w:val="003614CE"/>
    <w:rsid w:val="0036297E"/>
    <w:rsid w:val="003849FD"/>
    <w:rsid w:val="00394791"/>
    <w:rsid w:val="003A4FE4"/>
    <w:rsid w:val="003A5054"/>
    <w:rsid w:val="003C105F"/>
    <w:rsid w:val="003E1F3F"/>
    <w:rsid w:val="003E5660"/>
    <w:rsid w:val="003F2062"/>
    <w:rsid w:val="00410D86"/>
    <w:rsid w:val="004125E7"/>
    <w:rsid w:val="004221E9"/>
    <w:rsid w:val="004346EF"/>
    <w:rsid w:val="004366F5"/>
    <w:rsid w:val="004E2F79"/>
    <w:rsid w:val="004F574B"/>
    <w:rsid w:val="00524CF2"/>
    <w:rsid w:val="00560950"/>
    <w:rsid w:val="00566ACF"/>
    <w:rsid w:val="00576ED8"/>
    <w:rsid w:val="005A04CC"/>
    <w:rsid w:val="005A25A0"/>
    <w:rsid w:val="005D43D5"/>
    <w:rsid w:val="00603879"/>
    <w:rsid w:val="00613B30"/>
    <w:rsid w:val="00623659"/>
    <w:rsid w:val="006351A9"/>
    <w:rsid w:val="00681D55"/>
    <w:rsid w:val="00690D8F"/>
    <w:rsid w:val="006B68CF"/>
    <w:rsid w:val="006E39E5"/>
    <w:rsid w:val="006F6EDB"/>
    <w:rsid w:val="007009D8"/>
    <w:rsid w:val="00705C29"/>
    <w:rsid w:val="00713F78"/>
    <w:rsid w:val="0072325E"/>
    <w:rsid w:val="0074601B"/>
    <w:rsid w:val="00755C7B"/>
    <w:rsid w:val="00771530"/>
    <w:rsid w:val="007805EB"/>
    <w:rsid w:val="00787F26"/>
    <w:rsid w:val="007A1C96"/>
    <w:rsid w:val="007E6ACF"/>
    <w:rsid w:val="007E70BA"/>
    <w:rsid w:val="007E72AB"/>
    <w:rsid w:val="00816477"/>
    <w:rsid w:val="0082020C"/>
    <w:rsid w:val="00822864"/>
    <w:rsid w:val="00840BA4"/>
    <w:rsid w:val="00841833"/>
    <w:rsid w:val="008620BC"/>
    <w:rsid w:val="00890467"/>
    <w:rsid w:val="00895D62"/>
    <w:rsid w:val="008A708A"/>
    <w:rsid w:val="008B01B8"/>
    <w:rsid w:val="008B2A74"/>
    <w:rsid w:val="008C7B8D"/>
    <w:rsid w:val="008F1465"/>
    <w:rsid w:val="0092203F"/>
    <w:rsid w:val="00941B10"/>
    <w:rsid w:val="00945178"/>
    <w:rsid w:val="00961681"/>
    <w:rsid w:val="009840B5"/>
    <w:rsid w:val="009A3B7A"/>
    <w:rsid w:val="009D6607"/>
    <w:rsid w:val="009F057E"/>
    <w:rsid w:val="009F1015"/>
    <w:rsid w:val="00A01159"/>
    <w:rsid w:val="00A12672"/>
    <w:rsid w:val="00A1689D"/>
    <w:rsid w:val="00A279E0"/>
    <w:rsid w:val="00A302AB"/>
    <w:rsid w:val="00A53DAD"/>
    <w:rsid w:val="00A5549A"/>
    <w:rsid w:val="00A76733"/>
    <w:rsid w:val="00A931D9"/>
    <w:rsid w:val="00A93DB9"/>
    <w:rsid w:val="00AD45E1"/>
    <w:rsid w:val="00AD555B"/>
    <w:rsid w:val="00AD57F2"/>
    <w:rsid w:val="00B02EC9"/>
    <w:rsid w:val="00B20A02"/>
    <w:rsid w:val="00B50384"/>
    <w:rsid w:val="00B526CD"/>
    <w:rsid w:val="00B94878"/>
    <w:rsid w:val="00BA1A74"/>
    <w:rsid w:val="00BA1B06"/>
    <w:rsid w:val="00BB7342"/>
    <w:rsid w:val="00BE1C99"/>
    <w:rsid w:val="00BE30B8"/>
    <w:rsid w:val="00BE4B3A"/>
    <w:rsid w:val="00BF5C97"/>
    <w:rsid w:val="00C02E17"/>
    <w:rsid w:val="00C274C8"/>
    <w:rsid w:val="00C36BAA"/>
    <w:rsid w:val="00C422DF"/>
    <w:rsid w:val="00C724D2"/>
    <w:rsid w:val="00C77EEF"/>
    <w:rsid w:val="00CB2663"/>
    <w:rsid w:val="00CC5F55"/>
    <w:rsid w:val="00CE117C"/>
    <w:rsid w:val="00D176CA"/>
    <w:rsid w:val="00D219E2"/>
    <w:rsid w:val="00D43C74"/>
    <w:rsid w:val="00D52BEC"/>
    <w:rsid w:val="00D550C2"/>
    <w:rsid w:val="00DB5122"/>
    <w:rsid w:val="00DC1136"/>
    <w:rsid w:val="00DD605A"/>
    <w:rsid w:val="00DE721C"/>
    <w:rsid w:val="00E545C6"/>
    <w:rsid w:val="00E571CD"/>
    <w:rsid w:val="00EA13AA"/>
    <w:rsid w:val="00EB6DEB"/>
    <w:rsid w:val="00EB6E55"/>
    <w:rsid w:val="00EE134B"/>
    <w:rsid w:val="00EE3FDD"/>
    <w:rsid w:val="00F01060"/>
    <w:rsid w:val="00F247CD"/>
    <w:rsid w:val="00F2580F"/>
    <w:rsid w:val="00F51C4B"/>
    <w:rsid w:val="00F611D3"/>
    <w:rsid w:val="00F97C4A"/>
    <w:rsid w:val="00FB1292"/>
    <w:rsid w:val="00FD7251"/>
    <w:rsid w:val="00FE4788"/>
    <w:rsid w:val="607F4F36"/>
    <w:rsid w:val="7CF56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pPr>
      <w:tabs>
        <w:tab w:val="center" w:pos="4153"/>
        <w:tab w:val="right" w:pos="8306"/>
      </w:tabs>
      <w:snapToGrid w:val="0"/>
      <w:jc w:val="left"/>
    </w:pPr>
    <w:rPr>
      <w:sz w:val="18"/>
      <w:szCs w:val="18"/>
    </w:rPr>
  </w:style>
  <w:style w:type="paragraph" w:styleId="a4">
    <w:name w:val="header"/>
    <w:basedOn w:val="a"/>
    <w:link w:val="Char0"/>
    <w:uiPriority w:val="99"/>
    <w:semiHidden/>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character" w:customStyle="1" w:styleId="Char">
    <w:name w:val="页脚 Char"/>
    <w:basedOn w:val="a0"/>
    <w:link w:val="a3"/>
    <w:uiPriority w:val="99"/>
    <w:semiHidden/>
    <w:lock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pPr>
      <w:tabs>
        <w:tab w:val="center" w:pos="4153"/>
        <w:tab w:val="right" w:pos="8306"/>
      </w:tabs>
      <w:snapToGrid w:val="0"/>
      <w:jc w:val="left"/>
    </w:pPr>
    <w:rPr>
      <w:sz w:val="18"/>
      <w:szCs w:val="18"/>
    </w:rPr>
  </w:style>
  <w:style w:type="paragraph" w:styleId="a4">
    <w:name w:val="header"/>
    <w:basedOn w:val="a"/>
    <w:link w:val="Char0"/>
    <w:uiPriority w:val="99"/>
    <w:semiHidden/>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character" w:customStyle="1" w:styleId="Char">
    <w:name w:val="页脚 Char"/>
    <w:basedOn w:val="a0"/>
    <w:link w:val="a3"/>
    <w:uiPriority w:val="99"/>
    <w:semiHidden/>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634</Words>
  <Characters>3614</Characters>
  <Application>Microsoft Office Word</Application>
  <DocSecurity>0</DocSecurity>
  <Lines>30</Lines>
  <Paragraphs>8</Paragraphs>
  <ScaleCrop>false</ScaleCrop>
  <Company>Microsoft</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Custmor</dc:creator>
  <cp:lastModifiedBy>微软用户</cp:lastModifiedBy>
  <cp:revision>4</cp:revision>
  <cp:lastPrinted>2016-02-06T07:02:00Z</cp:lastPrinted>
  <dcterms:created xsi:type="dcterms:W3CDTF">2023-07-21T01:22:00Z</dcterms:created>
  <dcterms:modified xsi:type="dcterms:W3CDTF">2023-07-21T07:42:00Z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13198C59A2EA4C09A63163C1E0D92C9B_13</vt:lpwstr>
  </property>
</Properties>
</file>