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spacing w:line="580" w:lineRule="exact"/>
        <w:jc w:val="center"/>
        <w:rPr>
          <w:color w:val="333333"/>
          <w:sz w:val="21"/>
          <w:szCs w:val="21"/>
        </w:rPr>
      </w:pPr>
      <w:bookmarkStart w:id="0" w:name="_GoBack"/>
      <w:r>
        <w:rPr>
          <w:rFonts w:hint="eastAsia"/>
          <w:color w:val="333333"/>
          <w:sz w:val="44"/>
          <w:szCs w:val="44"/>
        </w:rPr>
        <w:t>大连市高新区城市管理综合行政执法局</w:t>
      </w:r>
    </w:p>
    <w:p>
      <w:pPr>
        <w:pStyle w:val="6"/>
        <w:widowControl w:val="0"/>
        <w:shd w:val="clear" w:color="auto" w:fill="FFFFFF"/>
        <w:spacing w:line="580" w:lineRule="exact"/>
        <w:jc w:val="center"/>
        <w:rPr>
          <w:rFonts w:hint="eastAsia"/>
          <w:color w:val="333333"/>
          <w:sz w:val="21"/>
          <w:szCs w:val="21"/>
        </w:rPr>
      </w:pPr>
      <w:r>
        <w:rPr>
          <w:rFonts w:hint="eastAsia"/>
          <w:color w:val="333333"/>
          <w:sz w:val="44"/>
          <w:szCs w:val="44"/>
        </w:rPr>
        <w:t>行政处罚决定书</w:t>
      </w:r>
    </w:p>
    <w:p>
      <w:pPr>
        <w:pStyle w:val="6"/>
        <w:widowControl w:val="0"/>
        <w:shd w:val="clear" w:color="auto" w:fill="FFFFFF"/>
        <w:spacing w:line="580" w:lineRule="exact"/>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辽(02)(11)综执处决字[2023]第01-004号</w:t>
      </w:r>
    </w:p>
    <w:bookmarkEnd w:id="0"/>
    <w:p>
      <w:pPr>
        <w:pStyle w:val="6"/>
        <w:widowControl w:val="0"/>
        <w:shd w:val="clear" w:color="auto" w:fill="FFFFFF"/>
        <w:spacing w:line="580" w:lineRule="exact"/>
        <w:jc w:val="center"/>
        <w:rPr>
          <w:rFonts w:hint="eastAsia" w:ascii="仿宋_GB2312" w:hAnsi="仿宋_GB2312" w:eastAsia="仿宋_GB2312" w:cs="仿宋_GB2312"/>
          <w:color w:val="333333"/>
          <w:sz w:val="32"/>
          <w:szCs w:val="32"/>
        </w:rPr>
      </w:pPr>
    </w:p>
    <w:p>
      <w:pPr>
        <w:pStyle w:val="6"/>
        <w:widowControl w:val="0"/>
        <w:shd w:val="clear" w:color="auto" w:fill="FFFFFF"/>
        <w:spacing w:line="580" w:lineRule="exact"/>
        <w:jc w:val="center"/>
        <w:rPr>
          <w:rFonts w:hint="eastAsia" w:ascii="仿宋" w:eastAsia="仿宋"/>
          <w:color w:val="333333"/>
          <w:sz w:val="32"/>
          <w:szCs w:val="32"/>
        </w:rPr>
      </w:pPr>
    </w:p>
    <w:p>
      <w:pPr>
        <w:pStyle w:val="6"/>
        <w:widowControl w:val="0"/>
        <w:shd w:val="clear" w:color="auto" w:fill="FFFFFF"/>
        <w:spacing w:line="580" w:lineRule="exact"/>
        <w:jc w:val="center"/>
        <w:rPr>
          <w:rFonts w:hint="eastAsia"/>
          <w:b/>
          <w:bCs/>
          <w:color w:val="333333"/>
          <w:sz w:val="36"/>
          <w:szCs w:val="36"/>
        </w:rPr>
      </w:pPr>
      <w:r>
        <w:rPr>
          <w:rFonts w:hint="eastAsia"/>
          <w:b/>
          <w:bCs/>
          <w:color w:val="333333"/>
          <w:sz w:val="36"/>
          <w:szCs w:val="36"/>
        </w:rPr>
        <w:t>关于王</w:t>
      </w:r>
      <w:r>
        <w:rPr>
          <w:rFonts w:hint="eastAsia" w:ascii="仿宋" w:eastAsia="仿宋" w:cs="宋体"/>
          <w:color w:val="auto"/>
          <w:kern w:val="0"/>
          <w:sz w:val="32"/>
          <w:szCs w:val="32"/>
          <w:lang w:val="en-US" w:eastAsia="zh-CN" w:bidi="ar-SA"/>
        </w:rPr>
        <w:t>**</w:t>
      </w:r>
      <w:r>
        <w:rPr>
          <w:rFonts w:hint="eastAsia"/>
          <w:b/>
          <w:bCs/>
          <w:color w:val="333333"/>
          <w:sz w:val="36"/>
          <w:szCs w:val="36"/>
        </w:rPr>
        <w:t>驾驶辽BYD137运输在高新区广贤路运载渣土未采取封闭式苫盖造成撒漏的处罚决定</w:t>
      </w:r>
    </w:p>
    <w:p>
      <w:pPr>
        <w:pStyle w:val="6"/>
        <w:widowControl w:val="0"/>
        <w:shd w:val="clear" w:color="auto" w:fill="FFFFFF"/>
        <w:spacing w:line="580" w:lineRule="exact"/>
        <w:rPr>
          <w:rFonts w:hint="eastAsia" w:ascii="仿宋" w:eastAsia="仿宋"/>
          <w:color w:val="333333"/>
          <w:sz w:val="32"/>
          <w:szCs w:val="32"/>
        </w:rPr>
      </w:pPr>
      <w:r>
        <w:rPr>
          <w:rFonts w:hint="eastAsia" w:ascii="仿宋" w:eastAsia="仿宋"/>
          <w:color w:val="333333"/>
          <w:sz w:val="36"/>
          <w:szCs w:val="36"/>
        </w:rPr>
        <w:t>  </w:t>
      </w:r>
      <w:r>
        <w:rPr>
          <w:rFonts w:hint="eastAsia" w:ascii="仿宋" w:eastAsia="仿宋"/>
          <w:color w:val="333333"/>
          <w:sz w:val="32"/>
          <w:szCs w:val="32"/>
        </w:rPr>
        <w:t xml:space="preserve"> </w:t>
      </w:r>
    </w:p>
    <w:p>
      <w:pPr>
        <w:pStyle w:val="6"/>
        <w:widowControl w:val="0"/>
        <w:shd w:val="clear" w:color="auto" w:fill="FFFFFF"/>
        <w:spacing w:line="580" w:lineRule="exact"/>
        <w:rPr>
          <w:rFonts w:hint="eastAsia" w:ascii="仿宋_GB2312" w:hAnsi="仿宋_GB2312" w:eastAsia="仿宋_GB2312" w:cs="仿宋_GB2312"/>
          <w:color w:val="333333"/>
          <w:sz w:val="36"/>
          <w:szCs w:val="36"/>
        </w:rPr>
      </w:pPr>
      <w:r>
        <w:rPr>
          <w:rFonts w:hint="eastAsia" w:ascii="仿宋_GB2312" w:hAnsi="仿宋_GB2312" w:eastAsia="仿宋_GB2312" w:cs="仿宋_GB2312"/>
          <w:color w:val="333333"/>
          <w:sz w:val="32"/>
          <w:szCs w:val="32"/>
        </w:rPr>
        <w:t>当事人：王</w:t>
      </w:r>
      <w:r>
        <w:rPr>
          <w:rFonts w:hint="eastAsia" w:ascii="仿宋" w:eastAsia="仿宋" w:cs="宋体"/>
          <w:color w:val="auto"/>
          <w:kern w:val="0"/>
          <w:sz w:val="32"/>
          <w:szCs w:val="32"/>
          <w:lang w:val="en-US" w:eastAsia="zh-CN" w:bidi="ar-SA"/>
        </w:rPr>
        <w:t>**</w:t>
      </w:r>
    </w:p>
    <w:p>
      <w:pPr>
        <w:pStyle w:val="6"/>
        <w:widowControl w:val="0"/>
        <w:shd w:val="clear" w:color="auto" w:fill="FFFFFF"/>
        <w:spacing w:line="580" w:lineRule="exact"/>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2"/>
          <w:szCs w:val="32"/>
        </w:rPr>
        <w:t>住  所：</w:t>
      </w:r>
      <w:r>
        <w:rPr>
          <w:rFonts w:hint="eastAsia" w:ascii="仿宋_GB2312" w:hAnsi="仿宋_GB2312" w:eastAsia="仿宋_GB2312" w:cs="仿宋_GB2312"/>
          <w:color w:val="333333"/>
          <w:sz w:val="30"/>
          <w:szCs w:val="30"/>
        </w:rPr>
        <w:t>辽宁省大连市甘井子区梨东街</w:t>
      </w:r>
    </w:p>
    <w:p>
      <w:pPr>
        <w:pStyle w:val="6"/>
        <w:widowControl w:val="0"/>
        <w:shd w:val="clear" w:color="auto" w:fill="FFFFFF"/>
        <w:spacing w:line="580" w:lineRule="exact"/>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联系电话：152</w:t>
      </w:r>
      <w:r>
        <w:rPr>
          <w:rFonts w:hint="eastAsia" w:ascii="仿宋" w:eastAsia="仿宋" w:cs="宋体"/>
          <w:color w:val="auto"/>
          <w:kern w:val="0"/>
          <w:sz w:val="32"/>
          <w:szCs w:val="32"/>
          <w:lang w:val="en-US" w:eastAsia="zh-CN" w:bidi="ar-SA"/>
        </w:rPr>
        <w:t>****</w:t>
      </w:r>
      <w:r>
        <w:rPr>
          <w:rFonts w:hint="eastAsia" w:ascii="仿宋_GB2312" w:hAnsi="仿宋_GB2312" w:eastAsia="仿宋_GB2312" w:cs="仿宋_GB2312"/>
          <w:color w:val="333333"/>
          <w:sz w:val="30"/>
          <w:szCs w:val="30"/>
        </w:rPr>
        <w:t>3788</w:t>
      </w:r>
    </w:p>
    <w:p>
      <w:pPr>
        <w:pStyle w:val="6"/>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2023年3月30日15时10分，王</w:t>
      </w:r>
      <w:r>
        <w:rPr>
          <w:rFonts w:hint="eastAsia" w:ascii="仿宋" w:eastAsia="仿宋" w:cs="宋体"/>
          <w:color w:val="auto"/>
          <w:kern w:val="0"/>
          <w:sz w:val="32"/>
          <w:szCs w:val="32"/>
          <w:lang w:val="en-US" w:eastAsia="zh-CN" w:bidi="ar-SA"/>
        </w:rPr>
        <w:t>**</w:t>
      </w:r>
      <w:r>
        <w:rPr>
          <w:rFonts w:hint="eastAsia" w:ascii="仿宋_GB2312" w:hAnsi="仿宋_GB2312" w:eastAsia="仿宋_GB2312" w:cs="仿宋_GB2312"/>
          <w:color w:val="333333"/>
          <w:sz w:val="32"/>
          <w:szCs w:val="32"/>
        </w:rPr>
        <w:t>驾驶辽BYD137运输渣土未采取封闭式苫盖造成撒漏。我局受理该案。依据《中华人民共和国行政处罚法》第三十六条之规定，4月13日我局立案调查。</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经调查，2023年3月30日15时10分，王</w:t>
      </w:r>
      <w:r>
        <w:rPr>
          <w:rFonts w:hint="eastAsia" w:ascii="仿宋" w:eastAsia="仿宋" w:cs="宋体"/>
          <w:color w:val="auto"/>
          <w:kern w:val="0"/>
          <w:sz w:val="32"/>
          <w:szCs w:val="32"/>
          <w:lang w:val="en-US" w:eastAsia="zh-CN" w:bidi="ar-SA"/>
        </w:rPr>
        <w:t>**</w:t>
      </w:r>
      <w:r>
        <w:rPr>
          <w:rFonts w:hint="eastAsia" w:ascii="仿宋_GB2312" w:hAnsi="仿宋_GB2312" w:eastAsia="仿宋_GB2312" w:cs="仿宋_GB2312"/>
          <w:color w:val="333333"/>
          <w:sz w:val="32"/>
          <w:szCs w:val="32"/>
        </w:rPr>
        <w:t xml:space="preserve">驾驶辽BYD137运输渣土未采取封闭式苫盖造成撒漏。上述事实，有以下证据证明： </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证据一：《现场检查（勘验）笔录》、现场照片一张。证明运输渣土未采取封闭式苫盖造成撒漏的违法行为发生时间、地点、违法事实等；</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证据二：《调查笔录》1份。证明运输渣土未采取封闭式苫盖造成撒漏的违法行为人、违法事实等；</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证据三：居民身份证复印件。证明运输渣土未采取封闭式苫盖造成撒漏的违法行为人身份；</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其他相关证据材料。</w:t>
      </w:r>
    </w:p>
    <w:p>
      <w:pPr>
        <w:pStyle w:val="6"/>
        <w:widowControl w:val="0"/>
        <w:shd w:val="clear" w:color="auto" w:fill="FFFFFF"/>
        <w:spacing w:line="58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我局于2023年4月13日向你下达《行政处罚先行告知书》，告知你(单位)享有陈述、申辩，你(单位)未进行陈述和申辩。</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你于2023年3月30日15时10分被发现在高新区广贤路，王</w:t>
      </w:r>
      <w:r>
        <w:rPr>
          <w:rFonts w:hint="eastAsia" w:ascii="仿宋" w:eastAsia="仿宋" w:cs="宋体"/>
          <w:color w:val="auto"/>
          <w:kern w:val="0"/>
          <w:sz w:val="32"/>
          <w:szCs w:val="32"/>
          <w:lang w:val="en-US" w:eastAsia="zh-CN" w:bidi="ar-SA"/>
        </w:rPr>
        <w:t>**</w:t>
      </w:r>
      <w:r>
        <w:rPr>
          <w:rFonts w:hint="eastAsia" w:ascii="仿宋_GB2312" w:hAnsi="仿宋_GB2312" w:eastAsia="仿宋_GB2312" w:cs="仿宋_GB2312"/>
          <w:color w:val="333333"/>
          <w:sz w:val="32"/>
          <w:szCs w:val="32"/>
        </w:rPr>
        <w:t xml:space="preserve">驾驶辽BYD137运输渣土未采取封闭式苫盖造成撒漏的行为，违反了《辽宁省城市市容和环境卫生管理规定》第二十五条“在城市道路行驶的运载泥土、沙石、水泥等易飞物和液体的机动车应当采取覆盖或者密封措施，防止沿途洒漏，并按照规定的时间和路线行驶。”的规定。   </w:t>
      </w:r>
    </w:p>
    <w:p>
      <w:pPr>
        <w:pStyle w:val="6"/>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w:t>
      </w:r>
      <w:r>
        <w:rPr>
          <w:rFonts w:hint="eastAsia" w:ascii="仿宋_GB2312" w:eastAsia="仿宋_GB2312"/>
          <w:sz w:val="32"/>
          <w:szCs w:val="32"/>
        </w:rPr>
        <w:t>、</w:t>
      </w:r>
      <w:r>
        <w:rPr>
          <w:rFonts w:hint="eastAsia" w:ascii="仿宋_GB2312" w:hAnsi="仿宋_GB2312" w:eastAsia="仿宋_GB2312" w:cs="仿宋_GB2312"/>
          <w:color w:val="333333"/>
          <w:sz w:val="32"/>
          <w:szCs w:val="32"/>
        </w:rPr>
        <w:t>《辽宁省城市市容和环境卫生管理规定》第三十四条“违反第二十五条规定的，由市容和环境卫生主管部门责令改正，清除污染，并处每车次50元以上500元以下罚款；”的规定，因擅自占用城市道路摆摊设点，按照《大连市城市管理行政执法自由裁量指导标准》的规定，责令改正，清除污染，当事人清除的，处每车次50元以上300元以下罚款，我局决定对你作出以下行政处罚：</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责令立即改正，给予警告，并处罚款人民币贰佰元整。     </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请你单位自收到本处罚决定书之日起15日内到我局缴纳罚款。逾期不缴纳的，我局将依据《中华人民共和国行政处罚法》第五十一条第一款第一项的规定，每日按罚款数额的百分之三加处罚款。逾期不履行本处罚决定的，根据《中华人民共和国行政处罚法》第五十一条（三）项的规定，本机关将依法申请人民法院强制执行。</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本决定自送达时发生法律效力。如对本处罚决定不服，可在收到本处罚决定书之日起60日（法律另有规定的按法律规定时间）日内向大连市人民政府（受理窗口：大连市中山区柳林街8B-5号大连市公共法律服务中心，联系电话：0411-39973313）申请行政复议，也可以自收到本决定书之日起六个月（法律另有规定的按法律规定时间）内向大连市高新区人民法院提起行政诉讼，当事人对行政处罚决定不服申请行政复议或者提起行政诉讼的，行政处罚不停止执行。  </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p>
    <w:p>
      <w:pPr>
        <w:pStyle w:val="6"/>
        <w:widowControl w:val="0"/>
        <w:shd w:val="clear" w:color="auto" w:fill="FFFFFF"/>
        <w:spacing w:line="580" w:lineRule="exact"/>
        <w:ind w:firstLine="640" w:firstLineChars="200"/>
        <w:rPr>
          <w:rFonts w:hint="eastAsia" w:ascii="仿宋_GB2312" w:hAnsi="仿宋_GB2312" w:eastAsia="仿宋_GB2312" w:cs="仿宋_GB2312"/>
          <w:color w:val="333333"/>
          <w:sz w:val="32"/>
          <w:szCs w:val="32"/>
        </w:rPr>
      </w:pPr>
    </w:p>
    <w:p>
      <w:pPr>
        <w:pStyle w:val="6"/>
        <w:widowControl w:val="0"/>
        <w:shd w:val="clear" w:color="auto" w:fill="FFFFFF"/>
        <w:spacing w:line="580" w:lineRule="exact"/>
        <w:rPr>
          <w:rFonts w:hint="eastAsia" w:ascii="仿宋_GB2312" w:hAnsi="仿宋_GB2312" w:eastAsia="仿宋_GB2312" w:cs="仿宋_GB2312"/>
          <w:color w:val="333333"/>
          <w:sz w:val="32"/>
          <w:szCs w:val="32"/>
        </w:rPr>
      </w:pPr>
    </w:p>
    <w:p>
      <w:pPr>
        <w:pStyle w:val="6"/>
        <w:widowControl w:val="0"/>
        <w:shd w:val="clear" w:color="auto" w:fill="FFFFFF"/>
        <w:spacing w:line="580" w:lineRule="exact"/>
        <w:ind w:right="645" w:firstLine="640" w:firstLineChars="200"/>
        <w:jc w:val="righ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大连市高新区城市管理综合行政执法局</w:t>
      </w:r>
    </w:p>
    <w:p>
      <w:pPr>
        <w:pStyle w:val="6"/>
        <w:widowControl w:val="0"/>
        <w:shd w:val="clear" w:color="auto" w:fill="FFFFFF"/>
        <w:spacing w:line="580" w:lineRule="exact"/>
        <w:ind w:right="1285" w:firstLine="4640" w:firstLineChars="145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2023年4月13日</w:t>
      </w:r>
    </w:p>
    <w:p>
      <w:pPr>
        <w:pStyle w:val="6"/>
        <w:widowControl w:val="0"/>
        <w:shd w:val="clear" w:color="auto" w:fill="FFFFFF"/>
        <w:spacing w:line="580" w:lineRule="exact"/>
        <w:ind w:right="645"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6"/>
        <w:widowControl w:val="0"/>
        <w:shd w:val="clear" w:color="auto" w:fill="FFFFFF"/>
        <w:spacing w:line="580" w:lineRule="exact"/>
        <w:ind w:right="645" w:firstLine="640" w:firstLineChars="200"/>
        <w:jc w:val="right"/>
        <w:rPr>
          <w:rFonts w:hint="eastAsia"/>
          <w:sz w:val="32"/>
          <w:szCs w:val="32"/>
        </w:rPr>
      </w:pPr>
    </w:p>
    <w:p>
      <w:pPr>
        <w:pStyle w:val="6"/>
        <w:widowControl w:val="0"/>
        <w:shd w:val="clear" w:color="auto" w:fill="FFFFFF"/>
        <w:spacing w:line="580" w:lineRule="exact"/>
        <w:ind w:right="645" w:firstLine="640" w:firstLineChars="200"/>
        <w:jc w:val="right"/>
        <w:rPr>
          <w:rFonts w:hint="eastAsia"/>
          <w:sz w:val="32"/>
          <w:szCs w:val="32"/>
        </w:rPr>
      </w:pPr>
    </w:p>
    <w:p>
      <w:pPr>
        <w:pStyle w:val="6"/>
        <w:widowControl w:val="0"/>
        <w:shd w:val="clear" w:color="auto" w:fill="FFFFFF"/>
        <w:spacing w:line="580" w:lineRule="exact"/>
        <w:ind w:right="645" w:firstLine="640" w:firstLineChars="200"/>
        <w:jc w:val="right"/>
        <w:rPr>
          <w:rFonts w:hint="eastAsia"/>
          <w:sz w:val="32"/>
          <w:szCs w:val="32"/>
        </w:rPr>
      </w:pPr>
    </w:p>
    <w:p>
      <w:pPr>
        <w:pStyle w:val="6"/>
        <w:widowControl w:val="0"/>
        <w:shd w:val="clear" w:color="auto" w:fill="FFFFFF"/>
        <w:spacing w:line="580" w:lineRule="exact"/>
        <w:ind w:right="645" w:firstLine="640" w:firstLineChars="200"/>
        <w:jc w:val="right"/>
        <w:rPr>
          <w:rFonts w:hint="eastAsia"/>
          <w:sz w:val="32"/>
          <w:szCs w:val="32"/>
        </w:rPr>
      </w:pPr>
    </w:p>
    <w:p>
      <w:pPr>
        <w:pStyle w:val="6"/>
        <w:widowControl w:val="0"/>
        <w:shd w:val="clear" w:color="auto" w:fill="FFFFFF"/>
        <w:spacing w:line="580" w:lineRule="exact"/>
        <w:ind w:right="645" w:firstLine="640" w:firstLineChars="200"/>
        <w:jc w:val="right"/>
        <w:rPr>
          <w:rFonts w:hint="eastAsia"/>
          <w:sz w:val="32"/>
          <w:szCs w:val="32"/>
        </w:rPr>
      </w:pPr>
    </w:p>
    <w:p>
      <w:pPr>
        <w:pStyle w:val="6"/>
        <w:widowControl w:val="0"/>
        <w:shd w:val="clear" w:color="auto" w:fill="FFFFFF"/>
        <w:spacing w:line="580" w:lineRule="exact"/>
        <w:ind w:left="-359" w:leftChars="-171"/>
        <w:jc w:val="center"/>
        <w:rPr>
          <w:rFonts w:hint="eastAsia"/>
          <w:color w:val="333333"/>
          <w:sz w:val="28"/>
          <w:szCs w:val="28"/>
        </w:rPr>
      </w:pPr>
      <w:r>
        <w:rPr>
          <w:rFonts w:hint="eastAsia"/>
          <w:sz w:val="28"/>
          <w:szCs w:val="28"/>
        </w:rPr>
        <w:t>（</w:t>
      </w:r>
      <w:r>
        <w:rPr>
          <w:rFonts w:hint="eastAsia"/>
          <w:w w:val="90"/>
          <w:sz w:val="28"/>
          <w:szCs w:val="28"/>
        </w:rPr>
        <w:t>本文书一式三份：一份留存，一份入卷，一份交当事人</w:t>
      </w:r>
      <w:r>
        <w:rPr>
          <w:rFonts w:hint="eastAsia"/>
          <w:sz w:val="28"/>
          <w:szCs w:val="28"/>
        </w:rPr>
        <w:t>）</w:t>
      </w:r>
    </w:p>
    <w:sectPr>
      <w:footerReference r:id="rId3" w:type="default"/>
      <w:footerReference r:id="rId4" w:type="even"/>
      <w:pgSz w:w="11906" w:h="16838"/>
      <w:pgMar w:top="1440" w:right="1466" w:bottom="12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264C"/>
    <w:rsid w:val="002F5AD5"/>
    <w:rsid w:val="003724C6"/>
    <w:rsid w:val="00394462"/>
    <w:rsid w:val="00410AA2"/>
    <w:rsid w:val="004B7FAC"/>
    <w:rsid w:val="0057286B"/>
    <w:rsid w:val="005E673F"/>
    <w:rsid w:val="006022E8"/>
    <w:rsid w:val="00645646"/>
    <w:rsid w:val="00715A17"/>
    <w:rsid w:val="00721D21"/>
    <w:rsid w:val="007452F3"/>
    <w:rsid w:val="008E48F2"/>
    <w:rsid w:val="00956C56"/>
    <w:rsid w:val="00AC0BA0"/>
    <w:rsid w:val="00CA525B"/>
    <w:rsid w:val="00DC254A"/>
    <w:rsid w:val="00E40796"/>
    <w:rsid w:val="00EA7657"/>
    <w:rsid w:val="00EF3A6D"/>
    <w:rsid w:val="00F1735A"/>
    <w:rsid w:val="00F214C9"/>
    <w:rsid w:val="00FD2EF2"/>
    <w:rsid w:val="022D18CE"/>
    <w:rsid w:val="07AF3F19"/>
    <w:rsid w:val="082F0A7C"/>
    <w:rsid w:val="08B857DD"/>
    <w:rsid w:val="08E36349"/>
    <w:rsid w:val="098E1812"/>
    <w:rsid w:val="0A6F0F93"/>
    <w:rsid w:val="0D2D1841"/>
    <w:rsid w:val="0D827A4F"/>
    <w:rsid w:val="0DAF76A1"/>
    <w:rsid w:val="0EC10577"/>
    <w:rsid w:val="11F83360"/>
    <w:rsid w:val="167738C8"/>
    <w:rsid w:val="16F86301"/>
    <w:rsid w:val="1BA91664"/>
    <w:rsid w:val="20D92A0E"/>
    <w:rsid w:val="232949CD"/>
    <w:rsid w:val="239E7363"/>
    <w:rsid w:val="23CA5602"/>
    <w:rsid w:val="26C559FE"/>
    <w:rsid w:val="28CD02F5"/>
    <w:rsid w:val="2AC04DDA"/>
    <w:rsid w:val="2B6C1BF9"/>
    <w:rsid w:val="2CFA0224"/>
    <w:rsid w:val="2DB44377"/>
    <w:rsid w:val="2E165270"/>
    <w:rsid w:val="2E35436D"/>
    <w:rsid w:val="2F9746F0"/>
    <w:rsid w:val="311B230E"/>
    <w:rsid w:val="31624BFE"/>
    <w:rsid w:val="397F4062"/>
    <w:rsid w:val="39D95971"/>
    <w:rsid w:val="3C9758CF"/>
    <w:rsid w:val="3DCF4B2E"/>
    <w:rsid w:val="3F63761F"/>
    <w:rsid w:val="415D609D"/>
    <w:rsid w:val="43E5422F"/>
    <w:rsid w:val="449B307F"/>
    <w:rsid w:val="46340156"/>
    <w:rsid w:val="468F4975"/>
    <w:rsid w:val="47A06064"/>
    <w:rsid w:val="47FD165D"/>
    <w:rsid w:val="48947E61"/>
    <w:rsid w:val="48FA410F"/>
    <w:rsid w:val="4B946A23"/>
    <w:rsid w:val="4C1A2117"/>
    <w:rsid w:val="4CEC02FA"/>
    <w:rsid w:val="4D4414C1"/>
    <w:rsid w:val="508610F6"/>
    <w:rsid w:val="52482546"/>
    <w:rsid w:val="5589175F"/>
    <w:rsid w:val="5BBD5543"/>
    <w:rsid w:val="5CF83E6C"/>
    <w:rsid w:val="5F615342"/>
    <w:rsid w:val="62BC5BC6"/>
    <w:rsid w:val="68AD40E0"/>
    <w:rsid w:val="68EC20A0"/>
    <w:rsid w:val="6F18369C"/>
    <w:rsid w:val="6F190FBD"/>
    <w:rsid w:val="70176CC2"/>
    <w:rsid w:val="70335E0B"/>
    <w:rsid w:val="7162658F"/>
    <w:rsid w:val="73AC603C"/>
    <w:rsid w:val="751F5508"/>
    <w:rsid w:val="762F0D35"/>
    <w:rsid w:val="78CE1FBB"/>
    <w:rsid w:val="79393511"/>
    <w:rsid w:val="79BA4BEE"/>
    <w:rsid w:val="7AAA40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jc w:val="left"/>
    </w:pPr>
    <w:rPr>
      <w:rFonts w:ascii="宋体" w:hAnsi="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3</Pages>
  <Words>200</Words>
  <Characters>1143</Characters>
  <Lines>9</Lines>
  <Paragraphs>2</Paragraphs>
  <TotalTime>1</TotalTime>
  <ScaleCrop>false</ScaleCrop>
  <LinksUpToDate>false</LinksUpToDate>
  <CharactersWithSpaces>1341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2018-07-23T00:32:00Z</dcterms:created>
  <dc:creator>User</dc:creator>
  <cp:lastModifiedBy>Administrator</cp:lastModifiedBy>
  <cp:lastPrinted>2023-04-27T07:15:00Z</cp:lastPrinted>
  <dcterms:modified xsi:type="dcterms:W3CDTF">2023-11-01T02:59:16Z</dcterms:modified>
  <dc:title>大连市甘井子区市场监督管理局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