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after="166" w:line="0" w:lineRule="atLeast"/>
        <w:jc w:val="both"/>
        <w:rPr>
          <w:rFonts w:hint="default" w:eastAsia="楷体_GB2312"/>
          <w:b/>
          <w:sz w:val="36"/>
          <w:szCs w:val="36"/>
          <w:lang w:val="en-US" w:eastAsia="zh-CN"/>
        </w:rPr>
      </w:pPr>
      <w:r>
        <w:rPr>
          <w:rFonts w:hint="eastAsia" w:eastAsia="楷体_GB2312"/>
          <w:b/>
          <w:sz w:val="36"/>
          <w:szCs w:val="36"/>
          <w:lang w:eastAsia="zh-CN"/>
        </w:rPr>
        <w:t>附件</w:t>
      </w:r>
      <w:r>
        <w:rPr>
          <w:rFonts w:hint="eastAsia" w:eastAsia="楷体_GB2312"/>
          <w:b/>
          <w:sz w:val="36"/>
          <w:szCs w:val="36"/>
          <w:lang w:val="en-US" w:eastAsia="zh-CN"/>
        </w:rPr>
        <w:t>5</w:t>
      </w:r>
    </w:p>
    <w:p>
      <w:pPr>
        <w:pStyle w:val="3"/>
        <w:keepNext w:val="0"/>
        <w:keepLines w:val="0"/>
        <w:pageBreakBefore w:val="0"/>
        <w:shd w:val="clear" w:color="auto" w:fill="FFFFFF"/>
        <w:kinsoku/>
        <w:overflowPunct/>
        <w:topLinePunct w:val="0"/>
        <w:bidi w:val="0"/>
        <w:snapToGrid/>
        <w:spacing w:before="0" w:beforeAutospacing="0" w:after="0" w:afterAutospacing="0" w:line="560" w:lineRule="exact"/>
        <w:ind w:left="2083" w:leftChars="304" w:hanging="1445" w:hangingChars="400"/>
        <w:textAlignment w:val="auto"/>
        <w:rPr>
          <w:rFonts w:hint="eastAsia" w:ascii="仿宋" w:hAnsi="仿宋" w:eastAsia="仿宋" w:cs="仿宋"/>
          <w:b/>
          <w:bCs w:val="0"/>
          <w:sz w:val="36"/>
          <w:szCs w:val="36"/>
          <w:lang w:val="en-US" w:eastAsia="zh-CN"/>
        </w:rPr>
      </w:pPr>
      <w:r>
        <w:rPr>
          <w:rFonts w:hint="eastAsia" w:ascii="仿宋" w:hAnsi="仿宋" w:eastAsia="仿宋" w:cs="仿宋"/>
          <w:b/>
          <w:bCs w:val="0"/>
          <w:sz w:val="36"/>
          <w:szCs w:val="36"/>
        </w:rPr>
        <w:t>XXX</w:t>
      </w:r>
      <w:r>
        <w:rPr>
          <w:rFonts w:hint="eastAsia" w:ascii="仿宋" w:hAnsi="仿宋" w:eastAsia="仿宋" w:cs="仿宋"/>
          <w:b/>
          <w:bCs w:val="0"/>
          <w:sz w:val="36"/>
          <w:szCs w:val="36"/>
          <w:lang w:val="en-US" w:eastAsia="zh-CN"/>
        </w:rPr>
        <w:t>大连市知识产权产业联盟知识产权运用评价</w:t>
      </w:r>
    </w:p>
    <w:p>
      <w:pPr>
        <w:spacing w:before="166" w:after="166" w:line="0" w:lineRule="atLeast"/>
        <w:jc w:val="center"/>
        <w:rPr>
          <w:rFonts w:hint="eastAsia" w:ascii="仿宋" w:hAnsi="仿宋" w:eastAsia="仿宋" w:cs="仿宋"/>
          <w:b/>
          <w:bCs w:val="0"/>
          <w:sz w:val="36"/>
          <w:szCs w:val="36"/>
        </w:rPr>
      </w:pPr>
      <w:r>
        <w:rPr>
          <w:rFonts w:hint="eastAsia" w:ascii="仿宋" w:hAnsi="仿宋" w:eastAsia="仿宋" w:cs="仿宋"/>
          <w:b/>
          <w:bCs w:val="0"/>
          <w:sz w:val="36"/>
          <w:szCs w:val="36"/>
        </w:rPr>
        <w:t>申报材料目录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6052"/>
        <w:gridCol w:w="95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8"/>
                <w:szCs w:val="28"/>
              </w:rPr>
            </w:pPr>
            <w:r>
              <w:rPr>
                <w:rFonts w:hint="eastAsia" w:ascii="仿宋" w:hAnsi="仿宋" w:eastAsia="仿宋" w:cs="仿宋"/>
                <w:kern w:val="0"/>
                <w:sz w:val="28"/>
                <w:szCs w:val="28"/>
              </w:rPr>
              <w:t>序号</w:t>
            </w: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8"/>
                <w:szCs w:val="28"/>
              </w:rPr>
            </w:pPr>
            <w:r>
              <w:rPr>
                <w:rFonts w:hint="eastAsia" w:ascii="仿宋" w:hAnsi="仿宋" w:eastAsia="仿宋" w:cs="仿宋"/>
                <w:kern w:val="0"/>
                <w:sz w:val="28"/>
                <w:szCs w:val="28"/>
              </w:rPr>
              <w:t>材料名称</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8"/>
                <w:szCs w:val="28"/>
              </w:rPr>
            </w:pPr>
            <w:r>
              <w:rPr>
                <w:rFonts w:hint="eastAsia" w:ascii="仿宋" w:hAnsi="仿宋" w:eastAsia="仿宋" w:cs="仿宋"/>
                <w:kern w:val="0"/>
                <w:sz w:val="28"/>
                <w:szCs w:val="28"/>
              </w:rPr>
              <w:t>页码</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黑体" w:hAnsi="黑体" w:eastAsia="黑体" w:cs="黑体"/>
                <w:kern w:val="2"/>
                <w:sz w:val="28"/>
                <w:szCs w:val="28"/>
                <w:lang w:eastAsia="zh-CN"/>
              </w:rPr>
            </w:pPr>
            <w:r>
              <w:rPr>
                <w:rFonts w:hint="eastAsia" w:ascii="黑体" w:hAnsi="黑体" w:eastAsia="黑体" w:cs="黑体"/>
                <w:kern w:val="0"/>
                <w:sz w:val="28"/>
                <w:szCs w:val="28"/>
                <w:lang w:eastAsia="zh-CN"/>
              </w:rPr>
              <w:t>一</w:t>
            </w: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黑体" w:hAnsi="黑体" w:eastAsia="黑体" w:cs="黑体"/>
                <w:kern w:val="2"/>
                <w:sz w:val="28"/>
                <w:szCs w:val="28"/>
                <w:lang w:eastAsia="zh-CN"/>
              </w:rPr>
            </w:pPr>
            <w:r>
              <w:rPr>
                <w:rFonts w:hint="eastAsia" w:ascii="黑体" w:hAnsi="黑体" w:eastAsia="黑体" w:cs="黑体"/>
                <w:kern w:val="2"/>
                <w:sz w:val="28"/>
                <w:szCs w:val="28"/>
                <w:lang w:eastAsia="zh-CN"/>
              </w:rPr>
              <w:t>基础材料</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numPr>
                <w:ilvl w:val="0"/>
                <w:numId w:val="0"/>
              </w:numPr>
              <w:kinsoku/>
              <w:overflowPunct/>
              <w:topLinePunct w:val="0"/>
              <w:autoSpaceDE/>
              <w:autoSpaceDN/>
              <w:bidi w:val="0"/>
              <w:adjustRightInd/>
              <w:snapToGrid/>
              <w:spacing w:line="450" w:lineRule="exact"/>
              <w:textAlignment w:val="auto"/>
              <w:rPr>
                <w:rFonts w:hint="eastAsia"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val="en-US" w:eastAsia="zh-CN"/>
              </w:rPr>
              <w:t>2023年度大连市知识产权产业联盟知识产权运用评价申报书</w:t>
            </w:r>
            <w:bookmarkStart w:id="0" w:name="_GoBack"/>
            <w:bookmarkEnd w:id="0"/>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01-0</w:t>
            </w:r>
            <w:r>
              <w:rPr>
                <w:rFonts w:hint="eastAsia" w:ascii="仿宋" w:hAnsi="仿宋" w:eastAsia="仿宋" w:cs="仿宋"/>
                <w:kern w:val="0"/>
                <w:sz w:val="24"/>
                <w:szCs w:val="24"/>
                <w:lang w:val="en-US" w:eastAsia="zh-CN"/>
              </w:rPr>
              <w:t>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numPr>
                <w:ilvl w:val="0"/>
                <w:numId w:val="0"/>
              </w:numPr>
              <w:kinsoku/>
              <w:overflowPunct/>
              <w:topLinePunct w:val="0"/>
              <w:autoSpaceDE/>
              <w:autoSpaceDN/>
              <w:bidi w:val="0"/>
              <w:adjustRightInd/>
              <w:snapToGrid/>
              <w:spacing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1.2.承诺书</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kern w:val="2"/>
                <w:sz w:val="24"/>
                <w:szCs w:val="24"/>
              </w:rPr>
            </w:pPr>
            <w:r>
              <w:rPr>
                <w:rFonts w:hint="eastAsia" w:ascii="仿宋" w:hAnsi="仿宋" w:eastAsia="仿宋" w:cs="仿宋"/>
                <w:sz w:val="24"/>
                <w:szCs w:val="24"/>
              </w:rPr>
              <w:t>2.知识产权产业联盟</w:t>
            </w:r>
            <w:r>
              <w:rPr>
                <w:rFonts w:hint="eastAsia" w:ascii="仿宋" w:hAnsi="仿宋" w:eastAsia="仿宋" w:cs="仿宋"/>
                <w:sz w:val="24"/>
                <w:szCs w:val="24"/>
                <w:lang w:eastAsia="zh-CN"/>
              </w:rPr>
              <w:t>简介</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kern w:val="2"/>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知识产权产业联盟章程或组建知识产权产业联盟的合作协议书。联盟章程或合作协议书应当由各成员单位的法定代表人共同签署并加盖公章</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spacing w:line="570" w:lineRule="exact"/>
              <w:jc w:val="both"/>
              <w:textAlignment w:val="auto"/>
              <w:rPr>
                <w:rFonts w:hint="eastAsia" w:ascii="仿宋" w:hAnsi="仿宋" w:eastAsia="仿宋" w:cs="仿宋"/>
                <w:kern w:val="2"/>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知识产权</w:t>
            </w:r>
            <w:r>
              <w:rPr>
                <w:rFonts w:hint="eastAsia" w:ascii="仿宋" w:hAnsi="仿宋" w:eastAsia="仿宋" w:cs="仿宋"/>
                <w:b w:val="0"/>
                <w:bCs w:val="0"/>
                <w:kern w:val="0"/>
                <w:sz w:val="24"/>
                <w:szCs w:val="24"/>
              </w:rPr>
              <w:t>产业联盟</w:t>
            </w:r>
            <w:r>
              <w:rPr>
                <w:rFonts w:hint="eastAsia" w:ascii="仿宋" w:hAnsi="仿宋" w:eastAsia="仿宋" w:cs="仿宋"/>
                <w:b w:val="0"/>
                <w:bCs w:val="0"/>
                <w:kern w:val="0"/>
                <w:sz w:val="24"/>
                <w:szCs w:val="24"/>
                <w:lang w:eastAsia="zh-CN"/>
              </w:rPr>
              <w:t>信息表</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.知识产权产业联盟牵头单位的统一社会信用代码</w:t>
            </w:r>
            <w:r>
              <w:rPr>
                <w:rFonts w:hint="eastAsia" w:ascii="仿宋" w:hAnsi="仿宋" w:eastAsia="仿宋" w:cs="仿宋"/>
                <w:sz w:val="24"/>
                <w:szCs w:val="24"/>
                <w:lang w:eastAsia="zh-CN"/>
              </w:rPr>
              <w:t>证或</w:t>
            </w:r>
            <w:r>
              <w:rPr>
                <w:rFonts w:hint="eastAsia" w:ascii="仿宋" w:hAnsi="仿宋" w:eastAsia="仿宋" w:cs="仿宋"/>
                <w:sz w:val="24"/>
                <w:szCs w:val="24"/>
              </w:rPr>
              <w:t>组织机构代码</w:t>
            </w:r>
            <w:r>
              <w:rPr>
                <w:rFonts w:hint="eastAsia" w:ascii="仿宋" w:hAnsi="仿宋" w:eastAsia="仿宋" w:cs="仿宋"/>
                <w:sz w:val="24"/>
                <w:szCs w:val="24"/>
                <w:lang w:eastAsia="zh-CN"/>
              </w:rPr>
              <w:t>证</w:t>
            </w:r>
            <w:r>
              <w:rPr>
                <w:rFonts w:hint="eastAsia" w:ascii="仿宋" w:hAnsi="仿宋" w:eastAsia="仿宋" w:cs="仿宋"/>
                <w:sz w:val="24"/>
                <w:szCs w:val="24"/>
              </w:rPr>
              <w:t>复印件</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知识产权产业联盟成员单位名单及相关负责人、联系人信息</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7.</w:t>
            </w:r>
            <w:r>
              <w:rPr>
                <w:rFonts w:hint="eastAsia" w:ascii="仿宋" w:hAnsi="仿宋" w:eastAsia="仿宋" w:cs="仿宋"/>
                <w:b w:val="0"/>
                <w:bCs w:val="0"/>
                <w:color w:val="000000"/>
                <w:sz w:val="24"/>
                <w:szCs w:val="24"/>
              </w:rPr>
              <w:t>建立健全内部管理制度</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知识产权产业联盟应建立健全联盟工作联络员制度和日常联系机制、重大事项决策机制等，加强联盟成员单位间的工作联系，完善联盟的内部治理情况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黑体" w:hAnsi="黑体" w:eastAsia="黑体" w:cs="黑体"/>
                <w:kern w:val="0"/>
                <w:sz w:val="28"/>
                <w:szCs w:val="28"/>
              </w:rPr>
            </w:pPr>
            <w:r>
              <w:rPr>
                <w:rFonts w:hint="eastAsia" w:ascii="黑体" w:hAnsi="黑体" w:eastAsia="黑体" w:cs="黑体"/>
                <w:sz w:val="28"/>
                <w:szCs w:val="28"/>
                <w:lang w:eastAsia="zh-CN"/>
              </w:rPr>
              <w:t>二</w:t>
            </w: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shd w:val="clear" w:color="auto" w:fill="FFFFFF"/>
              <w:kinsoku/>
              <w:overflowPunct/>
              <w:topLinePunct w:val="0"/>
              <w:bidi w:val="0"/>
              <w:snapToGrid/>
              <w:spacing w:before="0" w:beforeAutospacing="0" w:after="0" w:afterAutospacing="0" w:line="570" w:lineRule="exact"/>
              <w:textAlignment w:val="auto"/>
              <w:rPr>
                <w:rFonts w:hint="eastAsia" w:ascii="黑体" w:hAnsi="黑体" w:eastAsia="黑体" w:cs="黑体"/>
                <w:kern w:val="0"/>
                <w:sz w:val="28"/>
                <w:szCs w:val="28"/>
              </w:rPr>
            </w:pPr>
            <w:r>
              <w:rPr>
                <w:rFonts w:hint="eastAsia" w:ascii="黑体" w:hAnsi="黑体" w:eastAsia="黑体" w:cs="黑体"/>
                <w:sz w:val="28"/>
                <w:szCs w:val="28"/>
                <w:lang w:eastAsia="zh-CN"/>
              </w:rPr>
              <w:t>知识产权运用促进工作开展情况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lang w:val="en-US" w:eastAsia="zh-CN" w:bidi="ar-SA"/>
              </w:rPr>
            </w:pP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8.联盟组织开展或拟开展专利导航证明材料。包括</w:t>
            </w:r>
            <w:r>
              <w:rPr>
                <w:rFonts w:hint="eastAsia" w:ascii="仿宋" w:hAnsi="仿宋" w:eastAsia="仿宋" w:cs="仿宋"/>
                <w:b w:val="0"/>
                <w:bCs w:val="0"/>
                <w:color w:val="000000"/>
                <w:sz w:val="24"/>
                <w:szCs w:val="24"/>
              </w:rPr>
              <w:t>开展产业专利导航分析，引导产业知识产权布局，规避知识产权风险情况，联盟成员单位企业专利导航情况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9.建立订单式知识产权研发体系。在产业关键领域，推动相关高校院所、科研机构和产业上下游企业的联系与合作，建立创新前端充分对接、过程紧密结合、后续知识产权保护的产学研合作机制。推动建立“产、学、研、金、介、用”深度融合的产业核心知识产权研发体系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10.构筑和运营产业专利池，</w:t>
            </w:r>
            <w:r>
              <w:rPr>
                <w:rFonts w:hint="eastAsia" w:ascii="仿宋" w:hAnsi="仿宋" w:eastAsia="仿宋" w:cs="仿宋"/>
                <w:b w:val="0"/>
                <w:bCs w:val="0"/>
                <w:color w:val="000000"/>
                <w:sz w:val="24"/>
                <w:szCs w:val="24"/>
              </w:rPr>
              <w:t>建立合作共赢的资源共享和利益分配机制</w:t>
            </w:r>
            <w:r>
              <w:rPr>
                <w:rFonts w:hint="eastAsia" w:ascii="仿宋" w:hAnsi="仿宋" w:eastAsia="仿宋" w:cs="仿宋"/>
                <w:sz w:val="24"/>
                <w:szCs w:val="24"/>
                <w:lang w:val="en-US" w:eastAsia="zh-CN"/>
              </w:rPr>
              <w:t>。</w:t>
            </w:r>
            <w:r>
              <w:rPr>
                <w:rFonts w:hint="eastAsia" w:ascii="仿宋" w:hAnsi="仿宋" w:eastAsia="仿宋" w:cs="仿宋"/>
                <w:b w:val="0"/>
                <w:bCs w:val="0"/>
                <w:color w:val="000000"/>
                <w:sz w:val="24"/>
                <w:szCs w:val="24"/>
              </w:rPr>
              <w:t>通过联盟内部交叉许可、共有共享专利权等方式共同使用专利池中的专利或专利组合，实现知识产权的共享等情况</w:t>
            </w:r>
            <w:r>
              <w:rPr>
                <w:rFonts w:hint="eastAsia" w:ascii="仿宋" w:hAnsi="仿宋" w:eastAsia="仿宋" w:cs="仿宋"/>
                <w:b w:val="0"/>
                <w:bCs w:val="0"/>
                <w:color w:val="000000"/>
                <w:sz w:val="24"/>
                <w:szCs w:val="24"/>
                <w:lang w:eastAsia="zh-CN"/>
              </w:rPr>
              <w:t>（建专利池须有联盟单位签订的专利共享协议，并提交专利池所有专利明细表和专利有效证件）</w:t>
            </w:r>
            <w:r>
              <w:rPr>
                <w:rFonts w:hint="eastAsia" w:ascii="仿宋" w:hAnsi="仿宋" w:eastAsia="仿宋" w:cs="仿宋"/>
                <w:b/>
                <w:bCs/>
                <w:sz w:val="24"/>
                <w:szCs w:val="24"/>
                <w:lang w:val="en-US" w:eastAsia="zh-CN"/>
              </w:rPr>
              <w:t xml:space="preserve"> </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11.推进知识产权与标准的融合。根据产业发展和市场竞争需要，制定标准，参与和主导国家及行业技术标准制修订，推动建立标准制定和专利池构建的良性互动机制情况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12.</w:t>
            </w:r>
            <w:r>
              <w:rPr>
                <w:rFonts w:hint="eastAsia" w:ascii="仿宋" w:hAnsi="仿宋" w:eastAsia="仿宋" w:cs="仿宋"/>
                <w:b w:val="0"/>
                <w:bCs w:val="0"/>
                <w:color w:val="000000"/>
                <w:sz w:val="24"/>
                <w:szCs w:val="24"/>
              </w:rPr>
              <w:t>知识产权金融服务。联盟成员单位开展知识产权投融资、质押贷款、保险等金融服务情况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13.知识产权申请和转化服务。联盟为联盟成员单位开展知识产权代理服务，推动企业开展或者获得知识产权转让、许可、开放许可等业务的证明材料，组织知识产权入园惠企、银企对接和专利技术对接等相关活动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2"/>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45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14.</w:t>
            </w:r>
            <w:r>
              <w:rPr>
                <w:rFonts w:hint="eastAsia" w:ascii="仿宋" w:hAnsi="仿宋" w:eastAsia="仿宋" w:cs="仿宋"/>
                <w:b w:val="0"/>
                <w:bCs w:val="0"/>
                <w:color w:val="000000"/>
                <w:sz w:val="24"/>
                <w:szCs w:val="24"/>
              </w:rPr>
              <w:t>开展业务培训与人才培养</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产业知识产权联盟应面向联盟成员单位管理层、研发人员、知识产权管理人员等分类开展知识产权</w:t>
            </w:r>
            <w:r>
              <w:rPr>
                <w:rFonts w:hint="eastAsia" w:ascii="仿宋" w:hAnsi="仿宋" w:eastAsia="仿宋" w:cs="仿宋"/>
                <w:b w:val="0"/>
                <w:bCs w:val="0"/>
                <w:color w:val="000000"/>
                <w:sz w:val="24"/>
                <w:szCs w:val="24"/>
                <w:lang w:eastAsia="zh-CN"/>
              </w:rPr>
              <w:t>法律、知识产权代理、金融服务、知识产权运营等知识产权</w:t>
            </w:r>
            <w:r>
              <w:rPr>
                <w:rFonts w:hint="eastAsia" w:ascii="仿宋" w:hAnsi="仿宋" w:eastAsia="仿宋" w:cs="仿宋"/>
                <w:b w:val="0"/>
                <w:bCs w:val="0"/>
                <w:color w:val="000000"/>
                <w:sz w:val="24"/>
                <w:szCs w:val="24"/>
              </w:rPr>
              <w:t>业务培训情况</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450" w:lineRule="exac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15.其他证明材料。包括联盟及联盟骨干单位在知识产权创造、运用和转化中的典型案例和经验做法，以及其他知识产权创造、转化运用等证明材料。</w:t>
            </w: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00-000</w:t>
            </w: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6052"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left"/>
              <w:rPr>
                <w:rFonts w:hint="eastAsia" w:ascii="仿宋" w:hAnsi="仿宋" w:eastAsia="仿宋" w:cs="仿宋"/>
                <w:kern w:val="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before="166" w:after="166" w:line="0" w:lineRule="atLeast"/>
              <w:jc w:val="center"/>
              <w:rPr>
                <w:rFonts w:hint="eastAsia" w:ascii="仿宋" w:hAnsi="仿宋" w:eastAsia="仿宋" w:cs="仿宋"/>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36"/>
    <w:rsid w:val="00C21F36"/>
    <w:rsid w:val="00F266FE"/>
    <w:rsid w:val="26FF1D78"/>
    <w:rsid w:val="27EDFB1F"/>
    <w:rsid w:val="293FE162"/>
    <w:rsid w:val="3DDF4346"/>
    <w:rsid w:val="46EACFB2"/>
    <w:rsid w:val="6EBF8D7B"/>
    <w:rsid w:val="7BEDC13F"/>
    <w:rsid w:val="7F9FA6FB"/>
    <w:rsid w:val="DF9F485B"/>
    <w:rsid w:val="F13FC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styleId="3">
    <w:name w:val="Normal (Web)"/>
    <w:basedOn w:val="1"/>
    <w:unhideWhenUsed/>
    <w:qFormat/>
    <w:uiPriority w:val="99"/>
    <w:pPr>
      <w:spacing w:before="100" w:beforeAutospacing="1" w:after="100" w:afterAutospacing="1"/>
      <w:jc w:val="left"/>
    </w:pPr>
    <w:rPr>
      <w:rFonts w:ascii="Calibri" w:hAnsi="Calibri" w:cs="Calibri"/>
      <w:kern w:val="0"/>
      <w:sz w:val="24"/>
      <w:szCs w:val="21"/>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527</Characters>
  <Lines>4</Lines>
  <Paragraphs>1</Paragraphs>
  <TotalTime>2</TotalTime>
  <ScaleCrop>false</ScaleCrop>
  <LinksUpToDate>false</LinksUpToDate>
  <CharactersWithSpaces>618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2020-10-31T07:19:00Z</dcterms:created>
  <dc:creator>NTKO</dc:creator>
  <cp:lastModifiedBy>dl</cp:lastModifiedBy>
  <cp:lastPrinted>2020-10-31T07:28:00Z</cp:lastPrinted>
  <dcterms:modified xsi:type="dcterms:W3CDTF">2023-05-25T17:06:23Z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