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</w:pPr>
      <w:bookmarkStart w:id="0" w:name="_GoBack"/>
      <w:bookmarkEnd w:id="0"/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企业新技术新产品创新扶持项目申报指南</w:t>
      </w:r>
    </w:p>
    <w:p>
      <w:pPr>
        <w:spacing w:before="0" w:after="0" w:line="560" w:lineRule="auto"/>
        <w:ind w:left="0" w:right="0" w:firstLine="0"/>
        <w:jc w:val="center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（2024年度）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1.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重点战略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性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新兴产业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以国家统计局颁布的《战略性新兴产业分类（2018）》为依据。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2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.研发投入指项目实施过程中发生的与之直接相关的费用。主要包括：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（1）设备费：是指在项目实施过程中购置或试制专用仪器设备，对现有仪器设备进行升级改造，以及租赁外单位仪器设备而发生的费用。计算类仪器设备和软件工具可在设备费科目列支。应当严格控制设备购置，鼓励开放共享、自主研制、租赁专用仪器设备以及对现有仪器设备进行升级改造，避免重复购置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（2）业务费：是指在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32"/>
          <w:shd w:val="clear" w:fill="auto"/>
        </w:rPr>
        <w:t>①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测试化验加工支出主要用于由于承担单位自身的技术、工艺和设备等条件的限制，在项目实施过程中委托或与外单位合作（包括承担单位内部独立经济核算单位）进行的检验、测试、化验、加工、计算、试验、设计、制作等所支付的费用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32"/>
          <w:shd w:val="clear" w:fill="auto"/>
        </w:rPr>
        <w:t>②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燃料动力支出主要用于在项目实施过程中相关大型仪器设备、专用科学装置等运行发生的可以单独测算的水、电、气、燃料消耗等费用。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32"/>
          <w:shd w:val="clear" w:fill="auto"/>
        </w:rPr>
        <w:t>③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出版/文献/信息传播/知识产权事务支出主要用于在项目实施过程中，需要支付的出版、资料购买及印刷、文献检索、专业通信、专利申请及其他知识产权事务等费用。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32"/>
          <w:shd w:val="clear" w:fill="auto"/>
        </w:rPr>
        <w:t>④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会议/差旅/国际合作交流支出主要用于在项目实施过程中为组织开展学术研讨、咨询论证，以及组织协调项目或课题等活动而发生的会议费用；开展科学实验（试验）、科学考察、业务调研、学术交流等所发生的城市间交通费、住宿费、伙食补助费和市内交通费；研究人员出国及外国专家来华开展科学技术交流与合作的费用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（3）劳务费：是指在项目实施过程中支付给参与项目的研究生、博士后、访问学者和项目聘用的研究人员、科研辅助人员等的劳务性费用，以及支付给临时聘请的咨询专家的费用等。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参照大连市科学研究和技术服务业从业人员平均工资水平，项目聘用人员劳务费开支计算标准暂定为8000元/人月以内，其由单位缴纳的社会保险补助、住房公积金等纳入劳务费科目开支。财政供养人员不得列支劳务费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支付给临时聘请的咨询专家的费用，不得支付给参与本项目研究和管理的相关人员，其管理按照国家、省、市有关规定执行。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.申报单位应科学、合理、真实地编制预算，对设备费、业务费、劳务费预算应据实编制，不得简单按比例编制。对仪器设备购置、协议投入计划进行重点说明，并申明现有的实施条件和从单位外部可能获得的服务。除50万元以上的设备费外，其他费用只提供基本测算说明，不需要提供明细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4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.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企业同类扶持按照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“从高不重复”原则执行，同一事项不重复计算。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5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.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研发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补助在申报批准后予以拨付。第二年考核项目阶段性研发目标完成情况，审计上年度实际研发投入情况。研发目标或研发投入计划任一项未达标，取消第二年扶持；研发目标未达标的项目，返还第一年全部扶持资金；研发目标达标但实际研发投入未达到计划金额的项目，按照实际研发投入计算补助金额，返还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已发补助与应发补助之间的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差额。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扶持期结束后，考核项目整体研发成果，审计两年实际研发投入情况。研发目标未达标或两年实际研发投入未达到500万元的项目，返还全部扶持资金；研发目标达标且两年实际研发投入达到500万元，但实际研发投入未达到计划金额的项目，按照实际研发投入计算补助金额，返还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已发补助与应发补助之间的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差额。</w:t>
      </w:r>
    </w:p>
    <w:p>
      <w:pPr>
        <w:spacing w:before="0" w:after="0" w:line="5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6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.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扶持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金额为四舍五入取整数到元。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visionView w:markup="0"/>
  <w:trackRevisions w:val="1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zA5Mzc0Nzc5MDQwMDE3ODBhZDczMTU5NDU1NTMifQ=="/>
  </w:docVars>
  <w:rsids>
    <w:rsidRoot w:val="00000000"/>
    <w:rsid w:val="0218777D"/>
    <w:rsid w:val="084F33CB"/>
    <w:rsid w:val="0F0953F7"/>
    <w:rsid w:val="1C1565F9"/>
    <w:rsid w:val="32676A97"/>
    <w:rsid w:val="3A59760D"/>
    <w:rsid w:val="44B00906"/>
    <w:rsid w:val="4F784AE7"/>
    <w:rsid w:val="57466368"/>
    <w:rsid w:val="75727B61"/>
    <w:rsid w:val="78755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1900</Words>
  <Characters>1933</Characters>
  <TotalTime>36</TotalTime>
  <ScaleCrop>false</ScaleCrop>
  <LinksUpToDate>false</LinksUpToDate>
  <CharactersWithSpaces>1933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2024-05-19T03:53:00Z</dcterms:created>
  <dc:creator>TEMP</dc:creator>
  <cp:lastModifiedBy>高玮™</cp:lastModifiedBy>
  <cp:lastPrinted>2024-05-29T01:31:00Z</cp:lastPrinted>
  <dcterms:modified xsi:type="dcterms:W3CDTF">2024-05-29T07:13:35Z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F34BA5BD30C6487AB9DDFBFA84620A7B_13</vt:lpwstr>
  </property>
</Properties>
</file>