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0902E">
      <w:pPr>
        <w:spacing w:line="540" w:lineRule="exact"/>
        <w:rPr>
          <w:rFonts w:hint="eastAsia" w:ascii="Times New Roman" w:hAnsi="Times New Roman" w:eastAsia="黑体"/>
          <w:sz w:val="32"/>
          <w:szCs w:val="32"/>
          <w:lang w:eastAsia="zh-CN"/>
        </w:rPr>
      </w:pPr>
      <w:bookmarkStart w:id="0" w:name="_GoBack"/>
      <w:bookmarkEnd w:id="0"/>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4</w:t>
      </w:r>
    </w:p>
    <w:p w14:paraId="45AF0270">
      <w:pPr>
        <w:spacing w:line="540" w:lineRule="exact"/>
        <w:rPr>
          <w:rFonts w:ascii="Times New Roman" w:hAnsi="Times New Roman" w:eastAsia="方正小标宋简体"/>
          <w:spacing w:val="-20"/>
          <w:sz w:val="44"/>
          <w:szCs w:val="44"/>
        </w:rPr>
      </w:pPr>
    </w:p>
    <w:p w14:paraId="3ECC6288">
      <w:pPr>
        <w:spacing w:line="540" w:lineRule="exact"/>
        <w:jc w:val="center"/>
        <w:rPr>
          <w:rFonts w:hint="eastAsia" w:ascii="Times New Roman" w:hAnsi="Times New Roman" w:eastAsia="方正小标宋简体"/>
          <w:spacing w:val="-20"/>
          <w:sz w:val="44"/>
          <w:szCs w:val="44"/>
        </w:rPr>
      </w:pPr>
      <w:r>
        <w:rPr>
          <w:rFonts w:hint="eastAsia" w:ascii="Times New Roman" w:hAnsi="Times New Roman" w:eastAsia="方正小标宋简体"/>
          <w:spacing w:val="-20"/>
          <w:sz w:val="44"/>
          <w:szCs w:val="44"/>
        </w:rPr>
        <w:t>大连市政府补贴职业技能</w:t>
      </w:r>
    </w:p>
    <w:p w14:paraId="4BACE241">
      <w:pPr>
        <w:spacing w:line="540" w:lineRule="exact"/>
        <w:jc w:val="center"/>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w:t>
      </w:r>
      <w:r>
        <w:rPr>
          <w:rFonts w:hint="eastAsia" w:ascii="Times New Roman" w:hAnsi="Times New Roman" w:eastAsia="方正小标宋简体"/>
          <w:spacing w:val="-20"/>
          <w:sz w:val="44"/>
          <w:szCs w:val="44"/>
          <w:lang w:eastAsia="zh-CN"/>
        </w:rPr>
        <w:t>就业重点群体、新型学徒制、创业</w:t>
      </w:r>
      <w:r>
        <w:rPr>
          <w:rFonts w:hint="eastAsia" w:ascii="Times New Roman" w:hAnsi="Times New Roman" w:eastAsia="方正小标宋简体"/>
          <w:spacing w:val="-20"/>
          <w:sz w:val="44"/>
          <w:szCs w:val="44"/>
        </w:rPr>
        <w:t>）</w:t>
      </w:r>
    </w:p>
    <w:p w14:paraId="24840482">
      <w:pPr>
        <w:spacing w:line="540" w:lineRule="exact"/>
        <w:jc w:val="center"/>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培训认定机构协议书</w:t>
      </w:r>
    </w:p>
    <w:p w14:paraId="6CADE1EB">
      <w:pPr>
        <w:spacing w:line="540" w:lineRule="exact"/>
        <w:jc w:val="center"/>
        <w:rPr>
          <w:rFonts w:ascii="Times New Roman" w:hAnsi="Times New Roman" w:eastAsia="楷体_GB2312"/>
          <w:sz w:val="28"/>
          <w:szCs w:val="28"/>
        </w:rPr>
      </w:pPr>
      <w:r>
        <w:rPr>
          <w:rFonts w:hint="eastAsia" w:ascii="Times New Roman" w:hAnsi="Times New Roman" w:eastAsia="楷体_GB2312"/>
          <w:sz w:val="28"/>
          <w:szCs w:val="28"/>
        </w:rPr>
        <w:t>（样本）</w:t>
      </w:r>
    </w:p>
    <w:p w14:paraId="7BF974FE">
      <w:pPr>
        <w:spacing w:line="540" w:lineRule="exact"/>
        <w:ind w:firstLine="480" w:firstLineChars="200"/>
        <w:rPr>
          <w:rFonts w:ascii="Times New Roman" w:hAnsi="Times New Roman"/>
          <w:sz w:val="24"/>
        </w:rPr>
      </w:pPr>
    </w:p>
    <w:p w14:paraId="5220E187">
      <w:pPr>
        <w:adjustRightInd w:val="0"/>
        <w:snapToGrid w:val="0"/>
        <w:spacing w:line="54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甲方</w:t>
      </w:r>
      <w:r>
        <w:rPr>
          <w:rFonts w:hint="eastAsia" w:ascii="Times New Roman" w:hAnsi="Times New Roman" w:eastAsia="仿宋_GB2312"/>
          <w:sz w:val="32"/>
          <w:szCs w:val="32"/>
        </w:rPr>
        <w:t>：</w:t>
      </w:r>
      <w:r>
        <w:rPr>
          <w:rFonts w:ascii="Times New Roman" w:hAnsi="Times New Roman" w:eastAsia="仿宋_GB2312"/>
          <w:sz w:val="32"/>
          <w:szCs w:val="32"/>
        </w:rPr>
        <w:t>XX</w:t>
      </w:r>
      <w:r>
        <w:rPr>
          <w:rFonts w:hint="eastAsia" w:ascii="Times New Roman" w:hAnsi="Times New Roman" w:eastAsia="仿宋_GB2312"/>
          <w:sz w:val="32"/>
          <w:szCs w:val="32"/>
        </w:rPr>
        <w:t>区（就业培训负责部门全称）</w:t>
      </w:r>
    </w:p>
    <w:p w14:paraId="55FF62BE">
      <w:pPr>
        <w:adjustRightInd w:val="0"/>
        <w:snapToGrid w:val="0"/>
        <w:spacing w:line="54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乙方：</w:t>
      </w:r>
      <w:r>
        <w:rPr>
          <w:rFonts w:ascii="Times New Roman" w:hAnsi="Times New Roman" w:eastAsia="仿宋_GB2312"/>
          <w:sz w:val="32"/>
          <w:szCs w:val="32"/>
        </w:rPr>
        <w:t>XX (</w:t>
      </w:r>
      <w:r>
        <w:rPr>
          <w:rFonts w:hint="eastAsia" w:ascii="Times New Roman" w:hAnsi="Times New Roman" w:eastAsia="仿宋_GB2312"/>
          <w:sz w:val="32"/>
          <w:szCs w:val="32"/>
        </w:rPr>
        <w:t>培训机构全称</w:t>
      </w:r>
      <w:r>
        <w:rPr>
          <w:rFonts w:ascii="Times New Roman" w:hAnsi="Times New Roman" w:eastAsia="仿宋_GB2312"/>
          <w:sz w:val="32"/>
          <w:szCs w:val="32"/>
        </w:rPr>
        <w:t>)</w:t>
      </w:r>
    </w:p>
    <w:p w14:paraId="5C5A04A1">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为进一步规范职业技能（</w:t>
      </w:r>
      <w:r>
        <w:rPr>
          <w:rFonts w:hint="eastAsia" w:ascii="Times New Roman" w:hAnsi="Times New Roman" w:eastAsia="仿宋_GB2312"/>
          <w:sz w:val="32"/>
          <w:szCs w:val="32"/>
          <w:lang w:eastAsia="zh-CN"/>
        </w:rPr>
        <w:t>就业重点群体、新型学徒制、创业</w:t>
      </w:r>
      <w:r>
        <w:rPr>
          <w:rFonts w:hint="eastAsia" w:ascii="Times New Roman" w:hAnsi="Times New Roman" w:eastAsia="仿宋_GB2312"/>
          <w:sz w:val="32"/>
          <w:szCs w:val="32"/>
        </w:rPr>
        <w:t>）培训机构的管理，较好地完成大连市政府补贴职业技能（</w:t>
      </w:r>
      <w:r>
        <w:rPr>
          <w:rFonts w:hint="eastAsia" w:ascii="Times New Roman" w:hAnsi="Times New Roman" w:eastAsia="仿宋_GB2312"/>
          <w:sz w:val="32"/>
          <w:szCs w:val="32"/>
          <w:lang w:eastAsia="zh-CN"/>
        </w:rPr>
        <w:t>就业重点群体、新型学徒制、创业</w:t>
      </w:r>
      <w:r>
        <w:rPr>
          <w:rFonts w:hint="eastAsia" w:ascii="Times New Roman" w:hAnsi="Times New Roman" w:eastAsia="仿宋_GB2312"/>
          <w:sz w:val="32"/>
          <w:szCs w:val="32"/>
        </w:rPr>
        <w:t>）培训工作任务，向社会提供培训合格的技能人才，以满足我市经济建设发展的需要，根据有关规定，经双方平等协商，自愿达成如下协议：</w:t>
      </w:r>
    </w:p>
    <w:p w14:paraId="5286F8A4">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一、承担政府补贴培训项目的内容和期限</w:t>
      </w:r>
    </w:p>
    <w:p w14:paraId="5EE39D8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经乙方申请，专家评估通过，甲方委托乙方自</w:t>
      </w:r>
      <w:r>
        <w:rPr>
          <w:rFonts w:ascii="Times New Roman" w:hAnsi="Times New Roman" w:eastAsia="仿宋_GB2312"/>
          <w:sz w:val="32"/>
          <w:szCs w:val="32"/>
        </w:rPr>
        <w:t>XX</w:t>
      </w:r>
      <w:r>
        <w:rPr>
          <w:rFonts w:hint="eastAsia" w:ascii="Times New Roman" w:hAnsi="Times New Roman" w:eastAsia="仿宋_GB2312"/>
          <w:sz w:val="32"/>
          <w:szCs w:val="32"/>
        </w:rPr>
        <w:t>年</w:t>
      </w:r>
      <w:r>
        <w:rPr>
          <w:rFonts w:ascii="Times New Roman" w:hAnsi="Times New Roman" w:eastAsia="仿宋_GB2312"/>
          <w:sz w:val="32"/>
          <w:szCs w:val="32"/>
        </w:rPr>
        <w:t>X</w:t>
      </w:r>
      <w:r>
        <w:rPr>
          <w:rFonts w:hint="eastAsia" w:ascii="Times New Roman" w:hAnsi="Times New Roman" w:eastAsia="仿宋_GB2312"/>
          <w:sz w:val="32"/>
          <w:szCs w:val="32"/>
        </w:rPr>
        <w:t>月</w:t>
      </w:r>
      <w:r>
        <w:rPr>
          <w:rFonts w:ascii="Times New Roman" w:hAnsi="Times New Roman" w:eastAsia="仿宋_GB2312"/>
          <w:sz w:val="32"/>
          <w:szCs w:val="32"/>
        </w:rPr>
        <w:t>X</w:t>
      </w:r>
      <w:r>
        <w:rPr>
          <w:rFonts w:hint="eastAsia" w:ascii="Times New Roman" w:hAnsi="Times New Roman" w:eastAsia="仿宋_GB2312"/>
          <w:sz w:val="32"/>
          <w:szCs w:val="32"/>
        </w:rPr>
        <w:t>日至</w:t>
      </w:r>
      <w:r>
        <w:rPr>
          <w:rFonts w:ascii="Times New Roman" w:hAnsi="Times New Roman" w:eastAsia="仿宋_GB2312"/>
          <w:sz w:val="32"/>
          <w:szCs w:val="32"/>
        </w:rPr>
        <w:t>XX</w:t>
      </w:r>
      <w:r>
        <w:rPr>
          <w:rFonts w:hint="eastAsia" w:ascii="Times New Roman" w:hAnsi="Times New Roman" w:eastAsia="仿宋_GB2312"/>
          <w:sz w:val="32"/>
          <w:szCs w:val="32"/>
        </w:rPr>
        <w:t>年</w:t>
      </w:r>
      <w:r>
        <w:rPr>
          <w:rFonts w:ascii="Times New Roman" w:hAnsi="Times New Roman" w:eastAsia="仿宋_GB2312"/>
          <w:sz w:val="32"/>
          <w:szCs w:val="32"/>
        </w:rPr>
        <w:t>X</w:t>
      </w:r>
      <w:r>
        <w:rPr>
          <w:rFonts w:hint="eastAsia" w:ascii="Times New Roman" w:hAnsi="Times New Roman" w:eastAsia="仿宋_GB2312"/>
          <w:sz w:val="32"/>
          <w:szCs w:val="32"/>
        </w:rPr>
        <w:t>月</w:t>
      </w:r>
      <w:r>
        <w:rPr>
          <w:rFonts w:ascii="Times New Roman" w:hAnsi="Times New Roman" w:eastAsia="仿宋_GB2312"/>
          <w:sz w:val="32"/>
          <w:szCs w:val="32"/>
        </w:rPr>
        <w:t>X</w:t>
      </w:r>
      <w:r>
        <w:rPr>
          <w:rFonts w:hint="eastAsia" w:ascii="Times New Roman" w:hAnsi="Times New Roman" w:eastAsia="仿宋_GB2312"/>
          <w:sz w:val="32"/>
          <w:szCs w:val="32"/>
        </w:rPr>
        <w:t>日承担大连市政府补贴职业培训项目，具体培训职业（工种）范围见附表。</w:t>
      </w:r>
    </w:p>
    <w:p w14:paraId="0B0ED79F">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二、甲方的职责</w:t>
      </w:r>
    </w:p>
    <w:p w14:paraId="1E71C8DE">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．甲方对乙方开展政府补贴职业技能（</w:t>
      </w:r>
      <w:r>
        <w:rPr>
          <w:rFonts w:hint="eastAsia" w:ascii="Times New Roman" w:hAnsi="Times New Roman" w:eastAsia="仿宋_GB2312"/>
          <w:sz w:val="32"/>
          <w:szCs w:val="32"/>
          <w:lang w:eastAsia="zh-CN"/>
        </w:rPr>
        <w:t>就业重点群体、新型学徒制、创业</w:t>
      </w:r>
      <w:r>
        <w:rPr>
          <w:rFonts w:hint="eastAsia" w:ascii="Times New Roman" w:hAnsi="Times New Roman" w:eastAsia="仿宋_GB2312"/>
          <w:sz w:val="32"/>
          <w:szCs w:val="32"/>
        </w:rPr>
        <w:t>）培训工作进行指导、负责、监督、评估、审核。</w:t>
      </w:r>
    </w:p>
    <w:p w14:paraId="54A0BC41">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．甲方应按照政府信息公开的要求，在与乙方签订本协议后，及时向社会公布乙方相关信息。</w:t>
      </w:r>
    </w:p>
    <w:p w14:paraId="16F19920">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．甲方根据培训项目补贴标准，对乙方承担政府补贴职业培训中的符合条件人员给予补贴，补贴标准按有关文件规定执行，给付时间根据各地区财政拨款情况确定。</w:t>
      </w:r>
    </w:p>
    <w:p w14:paraId="559D8920">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．甲方对乙方的培训质量进行管理，对乙方经查实存在违反法律法规及相关政策行为的，应及时做出处理，并有权在协议期限内取消其认定培训资格。</w:t>
      </w:r>
    </w:p>
    <w:p w14:paraId="124722B4">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三、乙方的职责</w:t>
      </w:r>
    </w:p>
    <w:p w14:paraId="737BBE29">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．乙方按照认定内容，在认定的培训职业（工种）、等级范围和培训地点内开展培训，不得将认定培训项目转让（转包）给其他单位或个人，不得将办学资格或培训资格出借、出租给其他单位或个人。</w:t>
      </w:r>
    </w:p>
    <w:p w14:paraId="761F3361">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乙方使用国家正版职业培训教材或经管理部门审核通过的自编教材；参照国家颁布的职业标准的要求制定培训计划，严格按照培训计划和课时要求组织学员培训，并指定专人负责教学质量、培训学员考勤记录和培训过程管理等工作；将安全和消防知识教育纳入培训内容，提高培训学员安全和消防意识，确保学员培训期间的人身安全。</w:t>
      </w:r>
    </w:p>
    <w:p w14:paraId="0D492AC4">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 乙方建立并完善教学管理制度，健全有效的教学管理运行机制，健全教学质量检查、考核、教学日志管理、教学档案管理、理论及实操教学管理等制度，确保培训质量。</w:t>
      </w:r>
    </w:p>
    <w:p w14:paraId="7F3874D4">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乙方加强对教学过程中的备课、授课、实操等环节的考核，制定明确的质量标准，重点对教案、课堂教学质量和实操教学质量进行检查和评估；加强实操教学安全制度建设，落实安全培训责任人制度，防止出现事故。</w:t>
      </w:r>
    </w:p>
    <w:p w14:paraId="06E19F26">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5．乙方建立考勤制度，保证学员出勤率。</w:t>
      </w:r>
    </w:p>
    <w:p w14:paraId="3654D5C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6．乙方须在办学场所醒目位置悬挂办学许可证，公开培训项目名称、培训课时、收费标准、补贴政策及监督部门、监督电话等内容。</w:t>
      </w:r>
    </w:p>
    <w:p w14:paraId="3B56CB13">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7．乙方应履行向培训学员告知政府培训补贴条件、标准和办理程序等义务</w:t>
      </w:r>
      <w:r>
        <w:rPr>
          <w:rFonts w:ascii="Times New Roman" w:hAnsi="Times New Roman" w:eastAsia="仿宋_GB2312"/>
          <w:sz w:val="32"/>
          <w:szCs w:val="32"/>
        </w:rPr>
        <w:t>,</w:t>
      </w:r>
      <w:r>
        <w:rPr>
          <w:rFonts w:hint="eastAsia" w:ascii="Times New Roman" w:hAnsi="Times New Roman" w:eastAsia="仿宋_GB2312"/>
          <w:sz w:val="32"/>
          <w:szCs w:val="32"/>
        </w:rPr>
        <w:t xml:space="preserve"> 并做好培训咨询和指导服务工作。</w:t>
      </w:r>
    </w:p>
    <w:p w14:paraId="357427AD">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 乙方与学员签订规范的培训协议，收取培训学员缴纳的培训费应出据行政事业性收费票据或税务发票。</w:t>
      </w:r>
    </w:p>
    <w:p w14:paraId="4BA1D70B">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 乙方应按所承担政府补贴培训项目开班要求，通过大连市就业培训管理系统，向甲方提出开班备案申请，经甲方审核同意后，方可开展培训；未经甲方同意或未按程序提出开班申请，发生乙方无法申领培训补贴等情况的，乙方自行承担责任。</w:t>
      </w:r>
    </w:p>
    <w:p w14:paraId="65A7E19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 学员报名一个月内应安排培训，如确实无法开展培训的，乙方应向学员说明情况，并将培训券和培训费（补贴个人的）退还学员。</w:t>
      </w:r>
    </w:p>
    <w:p w14:paraId="4A1B4E55">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1．乙方在培训结束后，及时为学员申报相应的职业技能鉴定</w:t>
      </w:r>
      <w:r>
        <w:rPr>
          <w:rFonts w:ascii="Times New Roman" w:hAnsi="Times New Roman" w:eastAsia="仿宋_GB2312"/>
          <w:sz w:val="32"/>
          <w:szCs w:val="32"/>
        </w:rPr>
        <w:t>(</w:t>
      </w:r>
      <w:r>
        <w:rPr>
          <w:rFonts w:hint="eastAsia" w:ascii="Times New Roman" w:hAnsi="Times New Roman" w:eastAsia="仿宋_GB2312"/>
          <w:sz w:val="32"/>
          <w:szCs w:val="32"/>
        </w:rPr>
        <w:t>考试</w:t>
      </w:r>
      <w:r>
        <w:rPr>
          <w:rFonts w:ascii="Times New Roman" w:hAnsi="Times New Roman" w:eastAsia="仿宋_GB2312"/>
          <w:sz w:val="32"/>
          <w:szCs w:val="32"/>
        </w:rPr>
        <w:t>)</w:t>
      </w:r>
      <w:r>
        <w:rPr>
          <w:rFonts w:hint="eastAsia" w:ascii="Times New Roman" w:hAnsi="Times New Roman" w:eastAsia="仿宋_GB2312"/>
          <w:sz w:val="32"/>
          <w:szCs w:val="32"/>
        </w:rPr>
        <w:t>，并组织学员参加鉴定；鉴定结束后，乙方应协助学员领取证书。</w:t>
      </w:r>
    </w:p>
    <w:p w14:paraId="52FFD292">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2．乙方应能根据政府补贴资金申报流程做好信息录入和维护工作，符合补贴资金申请条件的，应按规定时限和流程及时办理补贴资金申报手续。因未及时申报或未按流程操作导致政府补贴资金无法申报的，由乙方自行承担责任。</w:t>
      </w:r>
    </w:p>
    <w:p w14:paraId="0468FC02">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3．乙方应加强培训档案管理，做好培训资料整理归档保管工作。培训资料应按培训类别、按班次建立，及时归档，妥善保管，以备查验。归档资料应包括但不仅限于以下内容：培训人员花名册、学员登记表、考勤表；培训大纲、教学进度计划、任课教师资质证明、教材、教案（可电子版）、教学日志；鉴定考试成绩单；学员就业创业情况跟踪材料等。</w:t>
      </w:r>
    </w:p>
    <w:p w14:paraId="4B27ADE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14. 乙方应积极建立校企合作关系，为有就业创业需求的培训学员提供就业创业渠道和就业创业服务，提高培训效果。</w:t>
      </w:r>
    </w:p>
    <w:p w14:paraId="428B9589">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5．乙方积极接受和配合甲方的管理，并按甲方的要求报送相关信息。</w:t>
      </w:r>
    </w:p>
    <w:p w14:paraId="37483258">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四、协议的解除、变更、终止</w:t>
      </w:r>
    </w:p>
    <w:p w14:paraId="256FFFCB">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（一）乙方如有下列情况之一的，甲方有权终止本协议执行或对其做出撤销认定培训机构资质等处理决定：</w:t>
      </w:r>
    </w:p>
    <w:p w14:paraId="0E8F0055">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．出租、出借办学资格或培训资格的；</w:t>
      </w:r>
    </w:p>
    <w:p w14:paraId="29C3735D">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．提供的申报信息不真实，或提供信息与实际情况不符，存在弄虚作假骗取培训补贴资金等行为的；</w:t>
      </w:r>
    </w:p>
    <w:p w14:paraId="762130A4">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．将承担的培训任务委托、转包给其他单位或个人的；</w:t>
      </w:r>
    </w:p>
    <w:p w14:paraId="3BAE1A7E">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．随意调整培训内容，严重影响教学质量的；</w:t>
      </w:r>
    </w:p>
    <w:p w14:paraId="575E2A5C">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．师资配备、教学设施和教学管理方面未达到相关要求的；</w:t>
      </w:r>
    </w:p>
    <w:p w14:paraId="13C1E803">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．管理混乱，经查属实且造成社会恶劣影响的投诉，或发生重大安全责任事故、教学事故和其他重大事故的；</w:t>
      </w:r>
    </w:p>
    <w:p w14:paraId="309C8FDD">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．擅自在开班申请备案的培训时间地点之外开展培训且多次告知不改正的；</w:t>
      </w:r>
    </w:p>
    <w:p w14:paraId="019A56FF">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．上年度督导评估不合格的；</w:t>
      </w:r>
    </w:p>
    <w:p w14:paraId="5B10B51C">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．拒不接受监督、检查和管理的；</w:t>
      </w:r>
    </w:p>
    <w:p w14:paraId="53716BC1">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．经查实存在违反国家法律法规或政策文件规定的其他行为的；</w:t>
      </w:r>
    </w:p>
    <w:p w14:paraId="189A9270">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w:t>
      </w:r>
      <w:r>
        <w:rPr>
          <w:rFonts w:hint="eastAsia" w:ascii="Times New Roman" w:hAnsi="Times New Roman" w:eastAsia="仿宋_GB2312"/>
          <w:sz w:val="32"/>
          <w:szCs w:val="32"/>
        </w:rPr>
        <w:t>．司法机关确认存在违法行为或提出司法建议的；被审批机关责令终止的；</w:t>
      </w:r>
    </w:p>
    <w:p w14:paraId="1BE41181">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w:t>
      </w:r>
      <w:r>
        <w:rPr>
          <w:rFonts w:hint="eastAsia" w:ascii="Times New Roman" w:hAnsi="Times New Roman" w:eastAsia="仿宋_GB2312"/>
          <w:sz w:val="32"/>
          <w:szCs w:val="32"/>
        </w:rPr>
        <w:t>．认定培训机构资格期满的。</w:t>
      </w:r>
    </w:p>
    <w:p w14:paraId="02E4875A">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（二）如发生不可抗力或政策变更致使协议无法履行的，甲乙双方均可终止履行并互不承担违约责任。</w:t>
      </w:r>
    </w:p>
    <w:p w14:paraId="08679234">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经双方协商一致，可以对本协议内容进行变更，以书面形式为准。协议解除、变更、终止的，对已开班的学员，乙方继续做好培训、鉴定（考试）相关工作；对已招收尚未开班的学员，乙方在甲方的指导下，做好善后工作安排。</w:t>
      </w:r>
    </w:p>
    <w:p w14:paraId="511E9185">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五、其他说明</w:t>
      </w:r>
    </w:p>
    <w:p w14:paraId="4FBB5D99">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XX</w:t>
      </w:r>
      <w:r>
        <w:rPr>
          <w:rFonts w:hint="eastAsia" w:ascii="Times New Roman" w:hAnsi="Times New Roman" w:eastAsia="仿宋_GB2312"/>
          <w:sz w:val="32"/>
          <w:szCs w:val="32"/>
        </w:rPr>
        <w:t>就业培训负责部门依据本协议，对认定机构的日常教学等活动实行协议管理。</w:t>
      </w:r>
    </w:p>
    <w:p w14:paraId="605156FF">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．如因政府补贴培训项目调整导致本协议所列补贴培训项目在本协议有效期内不再纳入政府补贴目录范围的，该项目培训资质自动失效。</w:t>
      </w:r>
    </w:p>
    <w:p w14:paraId="67AC5E9B">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乙方实际办学条件发生变化，经评估后，不符合承担政府补贴培训项目机构条件的，协议终止；或认定培训项目的实际办学条件下降，经评估后，不符合承担政府补贴培训项目条件的，协议中的该项目自动终止。</w:t>
      </w:r>
    </w:p>
    <w:p w14:paraId="1913296C">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．乙方发生分立、合并或终止办学，本协议自动变更或终止。乙方应在甲方指导下，做好学员的善后安排。</w:t>
      </w:r>
    </w:p>
    <w:p w14:paraId="350C1586">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．乙方因违反相关规定导致本协议终止的，甲方书面通知乙方。</w:t>
      </w:r>
    </w:p>
    <w:p w14:paraId="15A45047">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．本协议自甲乙双方签章之日起生效，一式两份，甲乙双方各一份。</w:t>
      </w:r>
    </w:p>
    <w:p w14:paraId="6E5C1D1E">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甲乙双方就其他未尽事宜订立以下补充条款：</w:t>
      </w:r>
    </w:p>
    <w:p w14:paraId="43A2482F">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p>
    <w:p w14:paraId="7476277B">
      <w:pPr>
        <w:spacing w:line="540" w:lineRule="exact"/>
        <w:ind w:firstLine="640" w:firstLineChars="200"/>
        <w:rPr>
          <w:rFonts w:ascii="仿宋_GB2312" w:eastAsia="仿宋_GB2312"/>
          <w:sz w:val="32"/>
          <w:szCs w:val="32"/>
        </w:rPr>
      </w:pPr>
    </w:p>
    <w:p w14:paraId="1C995604">
      <w:pPr>
        <w:spacing w:line="540" w:lineRule="exact"/>
        <w:ind w:firstLine="640" w:firstLineChars="200"/>
        <w:rPr>
          <w:rFonts w:ascii="仿宋_GB2312" w:eastAsia="仿宋_GB2312"/>
          <w:sz w:val="32"/>
          <w:szCs w:val="32"/>
        </w:rPr>
      </w:pPr>
    </w:p>
    <w:p w14:paraId="6B10CDBF">
      <w:pPr>
        <w:spacing w:line="540" w:lineRule="exact"/>
        <w:ind w:firstLine="640" w:firstLineChars="200"/>
        <w:rPr>
          <w:rFonts w:ascii="仿宋_GB2312" w:eastAsia="仿宋_GB2312"/>
          <w:sz w:val="32"/>
          <w:szCs w:val="32"/>
        </w:rPr>
      </w:pPr>
      <w:r>
        <w:rPr>
          <w:rFonts w:hint="eastAsia" w:ascii="仿宋_GB2312" w:eastAsia="仿宋_GB2312"/>
          <w:sz w:val="32"/>
          <w:szCs w:val="32"/>
        </w:rPr>
        <w:t>甲方（盖章）：                   乙方（盖章）：</w:t>
      </w:r>
    </w:p>
    <w:p w14:paraId="16C13063">
      <w:pPr>
        <w:spacing w:line="540" w:lineRule="exact"/>
        <w:ind w:firstLine="640" w:firstLineChars="200"/>
        <w:rPr>
          <w:rFonts w:ascii="仿宋_GB2312" w:eastAsia="仿宋_GB2312"/>
          <w:sz w:val="32"/>
          <w:szCs w:val="32"/>
        </w:rPr>
      </w:pPr>
    </w:p>
    <w:p w14:paraId="779357DF">
      <w:pPr>
        <w:spacing w:line="540" w:lineRule="exact"/>
        <w:ind w:firstLine="640" w:firstLineChars="200"/>
        <w:rPr>
          <w:rFonts w:ascii="仿宋_GB2312" w:eastAsia="仿宋_GB2312"/>
          <w:sz w:val="32"/>
          <w:szCs w:val="32"/>
        </w:rPr>
      </w:pPr>
      <w:r>
        <w:rPr>
          <w:rFonts w:hint="eastAsia" w:ascii="仿宋_GB2312" w:eastAsia="仿宋_GB2312"/>
          <w:sz w:val="32"/>
          <w:szCs w:val="32"/>
        </w:rPr>
        <w:t>代表人签字：                    代表人签字：</w:t>
      </w:r>
    </w:p>
    <w:p w14:paraId="30EB9070">
      <w:pPr>
        <w:spacing w:line="540" w:lineRule="exact"/>
        <w:ind w:firstLine="640" w:firstLineChars="200"/>
        <w:rPr>
          <w:rFonts w:ascii="仿宋_GB2312" w:eastAsia="仿宋_GB2312"/>
          <w:sz w:val="32"/>
          <w:szCs w:val="32"/>
        </w:rPr>
      </w:pPr>
    </w:p>
    <w:p w14:paraId="690741AF">
      <w:pPr>
        <w:spacing w:line="540" w:lineRule="exact"/>
        <w:ind w:firstLine="1280" w:firstLineChars="400"/>
        <w:rPr>
          <w:rFonts w:ascii="仿宋_GB2312" w:eastAsia="仿宋_GB2312"/>
          <w:sz w:val="32"/>
          <w:szCs w:val="32"/>
        </w:rPr>
        <w:sectPr>
          <w:headerReference r:id="rId3" w:type="default"/>
          <w:footerReference r:id="rId4" w:type="default"/>
          <w:footerReference r:id="rId5" w:type="even"/>
          <w:pgSz w:w="11906" w:h="16838"/>
          <w:pgMar w:top="1440" w:right="1797" w:bottom="1440" w:left="1797" w:header="851" w:footer="992" w:gutter="0"/>
          <w:pgNumType w:fmt="numberInDash"/>
          <w:cols w:space="425" w:num="1"/>
          <w:docGrid w:type="lines" w:linePitch="312" w:charSpace="0"/>
        </w:sectPr>
      </w:pPr>
      <w:r>
        <w:rPr>
          <w:rFonts w:hint="eastAsia" w:ascii="仿宋_GB2312" w:eastAsia="仿宋_GB2312"/>
          <w:sz w:val="32"/>
          <w:szCs w:val="32"/>
        </w:rPr>
        <w:t>年   月  日                     年   月  日</w:t>
      </w:r>
    </w:p>
    <w:p w14:paraId="5CC843E2">
      <w:pPr>
        <w:spacing w:line="560" w:lineRule="exact"/>
        <w:rPr>
          <w:rFonts w:ascii="Times New Roman" w:hAnsi="Times New Roman" w:eastAsia="黑体"/>
          <w:sz w:val="32"/>
          <w:szCs w:val="32"/>
        </w:rPr>
      </w:pPr>
      <w:r>
        <w:rPr>
          <w:rFonts w:hint="eastAsia" w:ascii="Times New Roman" w:hAnsi="Times New Roman" w:eastAsia="黑体"/>
          <w:sz w:val="32"/>
          <w:szCs w:val="32"/>
        </w:rPr>
        <w:t>附表</w:t>
      </w:r>
    </w:p>
    <w:p w14:paraId="0550FF42">
      <w:pPr>
        <w:spacing w:line="560" w:lineRule="exact"/>
        <w:jc w:val="center"/>
        <w:rPr>
          <w:rFonts w:ascii="宋体" w:hAnsi="宋体"/>
          <w:b/>
          <w:sz w:val="44"/>
          <w:szCs w:val="44"/>
        </w:rPr>
      </w:pPr>
      <w:r>
        <w:rPr>
          <w:rFonts w:hint="eastAsia" w:ascii="宋体" w:hAnsi="宋体"/>
          <w:b/>
          <w:sz w:val="44"/>
          <w:szCs w:val="44"/>
        </w:rPr>
        <w:t>（培训机构全称）政府补贴培训项目明细表</w:t>
      </w:r>
    </w:p>
    <w:p w14:paraId="2E8C11B2">
      <w:pPr>
        <w:spacing w:line="560" w:lineRule="exact"/>
        <w:jc w:val="center"/>
        <w:rPr>
          <w:rFonts w:ascii="宋体"/>
          <w:b/>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15"/>
        <w:gridCol w:w="1137"/>
        <w:gridCol w:w="2977"/>
      </w:tblGrid>
      <w:tr w14:paraId="0AEA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ADDA73C">
            <w:pPr>
              <w:spacing w:line="560" w:lineRule="exact"/>
              <w:jc w:val="center"/>
              <w:rPr>
                <w:rFonts w:asciiTheme="minorEastAsia" w:hAnsiTheme="minorEastAsia"/>
                <w:szCs w:val="21"/>
              </w:rPr>
            </w:pPr>
            <w:r>
              <w:rPr>
                <w:rFonts w:hint="eastAsia" w:asciiTheme="minorEastAsia" w:hAnsiTheme="minorEastAsia"/>
                <w:szCs w:val="21"/>
              </w:rPr>
              <w:t>序号</w:t>
            </w:r>
          </w:p>
        </w:tc>
        <w:tc>
          <w:tcPr>
            <w:tcW w:w="3115" w:type="dxa"/>
          </w:tcPr>
          <w:p w14:paraId="3430A854">
            <w:pPr>
              <w:spacing w:line="560" w:lineRule="exact"/>
              <w:jc w:val="center"/>
              <w:rPr>
                <w:rFonts w:asciiTheme="minorEastAsia" w:hAnsiTheme="minorEastAsia"/>
                <w:szCs w:val="21"/>
              </w:rPr>
            </w:pPr>
            <w:r>
              <w:rPr>
                <w:rFonts w:hint="eastAsia" w:asciiTheme="minorEastAsia" w:hAnsiTheme="minorEastAsia"/>
                <w:szCs w:val="21"/>
              </w:rPr>
              <w:t>培训项目名称</w:t>
            </w:r>
          </w:p>
        </w:tc>
        <w:tc>
          <w:tcPr>
            <w:tcW w:w="1137" w:type="dxa"/>
          </w:tcPr>
          <w:p w14:paraId="7692EC91">
            <w:pPr>
              <w:spacing w:line="560" w:lineRule="exact"/>
              <w:jc w:val="center"/>
              <w:rPr>
                <w:rFonts w:asciiTheme="minorEastAsia" w:hAnsiTheme="minorEastAsia"/>
                <w:szCs w:val="21"/>
              </w:rPr>
            </w:pPr>
            <w:r>
              <w:rPr>
                <w:rFonts w:hint="eastAsia" w:asciiTheme="minorEastAsia" w:hAnsiTheme="minorEastAsia"/>
                <w:szCs w:val="21"/>
              </w:rPr>
              <w:t>等级</w:t>
            </w:r>
          </w:p>
        </w:tc>
        <w:tc>
          <w:tcPr>
            <w:tcW w:w="2977" w:type="dxa"/>
          </w:tcPr>
          <w:p w14:paraId="1CC5F447">
            <w:pPr>
              <w:spacing w:line="560" w:lineRule="exact"/>
              <w:jc w:val="center"/>
              <w:rPr>
                <w:rFonts w:asciiTheme="minorEastAsia" w:hAnsiTheme="minorEastAsia"/>
                <w:szCs w:val="21"/>
              </w:rPr>
            </w:pPr>
            <w:r>
              <w:rPr>
                <w:rFonts w:hint="eastAsia" w:asciiTheme="minorEastAsia" w:hAnsiTheme="minorEastAsia"/>
                <w:szCs w:val="21"/>
              </w:rPr>
              <w:t>同一时间段最大培训人数</w:t>
            </w:r>
          </w:p>
        </w:tc>
      </w:tr>
      <w:tr w14:paraId="2A16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86CE523">
            <w:pPr>
              <w:spacing w:line="560" w:lineRule="exact"/>
              <w:rPr>
                <w:rFonts w:asciiTheme="minorEastAsia" w:hAnsiTheme="minorEastAsia"/>
                <w:szCs w:val="21"/>
              </w:rPr>
            </w:pPr>
          </w:p>
        </w:tc>
        <w:tc>
          <w:tcPr>
            <w:tcW w:w="3115" w:type="dxa"/>
          </w:tcPr>
          <w:p w14:paraId="70B211DE">
            <w:pPr>
              <w:spacing w:line="560" w:lineRule="exact"/>
              <w:rPr>
                <w:rFonts w:asciiTheme="minorEastAsia" w:hAnsiTheme="minorEastAsia"/>
                <w:szCs w:val="21"/>
              </w:rPr>
            </w:pPr>
          </w:p>
        </w:tc>
        <w:tc>
          <w:tcPr>
            <w:tcW w:w="1137" w:type="dxa"/>
          </w:tcPr>
          <w:p w14:paraId="2007EFDF">
            <w:pPr>
              <w:spacing w:line="560" w:lineRule="exact"/>
              <w:rPr>
                <w:rFonts w:asciiTheme="minorEastAsia" w:hAnsiTheme="minorEastAsia"/>
                <w:szCs w:val="21"/>
              </w:rPr>
            </w:pPr>
          </w:p>
        </w:tc>
        <w:tc>
          <w:tcPr>
            <w:tcW w:w="2977" w:type="dxa"/>
          </w:tcPr>
          <w:p w14:paraId="726F0CFD">
            <w:pPr>
              <w:spacing w:line="560" w:lineRule="exact"/>
              <w:rPr>
                <w:rFonts w:asciiTheme="minorEastAsia" w:hAnsiTheme="minorEastAsia"/>
                <w:szCs w:val="21"/>
              </w:rPr>
            </w:pPr>
          </w:p>
        </w:tc>
      </w:tr>
      <w:tr w14:paraId="640A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D2B3024">
            <w:pPr>
              <w:spacing w:line="560" w:lineRule="exact"/>
              <w:rPr>
                <w:rFonts w:asciiTheme="minorEastAsia" w:hAnsiTheme="minorEastAsia"/>
                <w:szCs w:val="21"/>
              </w:rPr>
            </w:pPr>
          </w:p>
        </w:tc>
        <w:tc>
          <w:tcPr>
            <w:tcW w:w="3115" w:type="dxa"/>
          </w:tcPr>
          <w:p w14:paraId="653E5B07">
            <w:pPr>
              <w:spacing w:line="560" w:lineRule="exact"/>
              <w:rPr>
                <w:rFonts w:asciiTheme="minorEastAsia" w:hAnsiTheme="minorEastAsia"/>
                <w:szCs w:val="21"/>
              </w:rPr>
            </w:pPr>
          </w:p>
        </w:tc>
        <w:tc>
          <w:tcPr>
            <w:tcW w:w="1137" w:type="dxa"/>
          </w:tcPr>
          <w:p w14:paraId="48284ACF">
            <w:pPr>
              <w:spacing w:line="560" w:lineRule="exact"/>
              <w:rPr>
                <w:rFonts w:asciiTheme="minorEastAsia" w:hAnsiTheme="minorEastAsia"/>
                <w:szCs w:val="21"/>
              </w:rPr>
            </w:pPr>
          </w:p>
        </w:tc>
        <w:tc>
          <w:tcPr>
            <w:tcW w:w="2977" w:type="dxa"/>
          </w:tcPr>
          <w:p w14:paraId="26DD69FC">
            <w:pPr>
              <w:spacing w:line="560" w:lineRule="exact"/>
              <w:rPr>
                <w:rFonts w:asciiTheme="minorEastAsia" w:hAnsiTheme="minorEastAsia"/>
                <w:szCs w:val="21"/>
              </w:rPr>
            </w:pPr>
          </w:p>
        </w:tc>
      </w:tr>
      <w:tr w14:paraId="0EDB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36CA377">
            <w:pPr>
              <w:spacing w:line="560" w:lineRule="exact"/>
              <w:rPr>
                <w:rFonts w:asciiTheme="minorEastAsia" w:hAnsiTheme="minorEastAsia"/>
                <w:szCs w:val="21"/>
              </w:rPr>
            </w:pPr>
          </w:p>
        </w:tc>
        <w:tc>
          <w:tcPr>
            <w:tcW w:w="3115" w:type="dxa"/>
          </w:tcPr>
          <w:p w14:paraId="0FD49AE5">
            <w:pPr>
              <w:spacing w:line="560" w:lineRule="exact"/>
              <w:rPr>
                <w:rFonts w:asciiTheme="minorEastAsia" w:hAnsiTheme="minorEastAsia"/>
                <w:szCs w:val="21"/>
              </w:rPr>
            </w:pPr>
          </w:p>
        </w:tc>
        <w:tc>
          <w:tcPr>
            <w:tcW w:w="1137" w:type="dxa"/>
          </w:tcPr>
          <w:p w14:paraId="6F8B8300">
            <w:pPr>
              <w:spacing w:line="560" w:lineRule="exact"/>
              <w:rPr>
                <w:rFonts w:asciiTheme="minorEastAsia" w:hAnsiTheme="minorEastAsia"/>
                <w:szCs w:val="21"/>
              </w:rPr>
            </w:pPr>
          </w:p>
        </w:tc>
        <w:tc>
          <w:tcPr>
            <w:tcW w:w="2977" w:type="dxa"/>
          </w:tcPr>
          <w:p w14:paraId="454AF7C7">
            <w:pPr>
              <w:spacing w:line="560" w:lineRule="exact"/>
              <w:rPr>
                <w:rFonts w:asciiTheme="minorEastAsia" w:hAnsiTheme="minorEastAsia"/>
                <w:szCs w:val="21"/>
              </w:rPr>
            </w:pPr>
          </w:p>
        </w:tc>
      </w:tr>
      <w:tr w14:paraId="1535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14209F6">
            <w:pPr>
              <w:spacing w:line="560" w:lineRule="exact"/>
              <w:rPr>
                <w:rFonts w:asciiTheme="minorEastAsia" w:hAnsiTheme="minorEastAsia"/>
                <w:szCs w:val="21"/>
              </w:rPr>
            </w:pPr>
          </w:p>
        </w:tc>
        <w:tc>
          <w:tcPr>
            <w:tcW w:w="3115" w:type="dxa"/>
          </w:tcPr>
          <w:p w14:paraId="41983B50">
            <w:pPr>
              <w:spacing w:line="560" w:lineRule="exact"/>
              <w:rPr>
                <w:rFonts w:asciiTheme="minorEastAsia" w:hAnsiTheme="minorEastAsia"/>
                <w:szCs w:val="21"/>
              </w:rPr>
            </w:pPr>
          </w:p>
        </w:tc>
        <w:tc>
          <w:tcPr>
            <w:tcW w:w="1137" w:type="dxa"/>
          </w:tcPr>
          <w:p w14:paraId="4B64F079">
            <w:pPr>
              <w:spacing w:line="560" w:lineRule="exact"/>
              <w:rPr>
                <w:rFonts w:asciiTheme="minorEastAsia" w:hAnsiTheme="minorEastAsia"/>
                <w:szCs w:val="21"/>
              </w:rPr>
            </w:pPr>
          </w:p>
        </w:tc>
        <w:tc>
          <w:tcPr>
            <w:tcW w:w="2977" w:type="dxa"/>
          </w:tcPr>
          <w:p w14:paraId="509ECD07">
            <w:pPr>
              <w:spacing w:line="560" w:lineRule="exact"/>
              <w:rPr>
                <w:rFonts w:asciiTheme="minorEastAsia" w:hAnsiTheme="minorEastAsia"/>
                <w:szCs w:val="21"/>
              </w:rPr>
            </w:pPr>
          </w:p>
        </w:tc>
      </w:tr>
      <w:tr w14:paraId="2986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969525F">
            <w:pPr>
              <w:spacing w:line="560" w:lineRule="exact"/>
              <w:rPr>
                <w:rFonts w:asciiTheme="minorEastAsia" w:hAnsiTheme="minorEastAsia"/>
                <w:szCs w:val="21"/>
              </w:rPr>
            </w:pPr>
          </w:p>
        </w:tc>
        <w:tc>
          <w:tcPr>
            <w:tcW w:w="3115" w:type="dxa"/>
          </w:tcPr>
          <w:p w14:paraId="499ABF94">
            <w:pPr>
              <w:spacing w:line="560" w:lineRule="exact"/>
              <w:rPr>
                <w:rFonts w:asciiTheme="minorEastAsia" w:hAnsiTheme="minorEastAsia"/>
                <w:szCs w:val="21"/>
              </w:rPr>
            </w:pPr>
          </w:p>
        </w:tc>
        <w:tc>
          <w:tcPr>
            <w:tcW w:w="1137" w:type="dxa"/>
          </w:tcPr>
          <w:p w14:paraId="2F6257FE">
            <w:pPr>
              <w:spacing w:line="560" w:lineRule="exact"/>
              <w:rPr>
                <w:rFonts w:asciiTheme="minorEastAsia" w:hAnsiTheme="minorEastAsia"/>
                <w:szCs w:val="21"/>
              </w:rPr>
            </w:pPr>
          </w:p>
        </w:tc>
        <w:tc>
          <w:tcPr>
            <w:tcW w:w="2977" w:type="dxa"/>
          </w:tcPr>
          <w:p w14:paraId="50D05ADF">
            <w:pPr>
              <w:spacing w:line="560" w:lineRule="exact"/>
              <w:rPr>
                <w:rFonts w:asciiTheme="minorEastAsia" w:hAnsiTheme="minorEastAsia"/>
                <w:szCs w:val="21"/>
              </w:rPr>
            </w:pPr>
          </w:p>
        </w:tc>
      </w:tr>
      <w:tr w14:paraId="1CD9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E99D1D9">
            <w:pPr>
              <w:spacing w:line="560" w:lineRule="exact"/>
              <w:rPr>
                <w:rFonts w:asciiTheme="minorEastAsia" w:hAnsiTheme="minorEastAsia"/>
                <w:szCs w:val="21"/>
              </w:rPr>
            </w:pPr>
          </w:p>
        </w:tc>
        <w:tc>
          <w:tcPr>
            <w:tcW w:w="3115" w:type="dxa"/>
          </w:tcPr>
          <w:p w14:paraId="4D6B55D2">
            <w:pPr>
              <w:spacing w:line="560" w:lineRule="exact"/>
              <w:rPr>
                <w:rFonts w:asciiTheme="minorEastAsia" w:hAnsiTheme="minorEastAsia"/>
                <w:szCs w:val="21"/>
              </w:rPr>
            </w:pPr>
          </w:p>
        </w:tc>
        <w:tc>
          <w:tcPr>
            <w:tcW w:w="1137" w:type="dxa"/>
          </w:tcPr>
          <w:p w14:paraId="1CDD5399">
            <w:pPr>
              <w:spacing w:line="560" w:lineRule="exact"/>
              <w:rPr>
                <w:rFonts w:asciiTheme="minorEastAsia" w:hAnsiTheme="minorEastAsia"/>
                <w:szCs w:val="21"/>
              </w:rPr>
            </w:pPr>
          </w:p>
        </w:tc>
        <w:tc>
          <w:tcPr>
            <w:tcW w:w="2977" w:type="dxa"/>
          </w:tcPr>
          <w:p w14:paraId="62832588">
            <w:pPr>
              <w:spacing w:line="560" w:lineRule="exact"/>
              <w:rPr>
                <w:rFonts w:asciiTheme="minorEastAsia" w:hAnsiTheme="minorEastAsia"/>
                <w:szCs w:val="21"/>
              </w:rPr>
            </w:pPr>
          </w:p>
        </w:tc>
      </w:tr>
      <w:tr w14:paraId="34D4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192DEC9">
            <w:pPr>
              <w:spacing w:line="560" w:lineRule="exact"/>
              <w:rPr>
                <w:rFonts w:asciiTheme="minorEastAsia" w:hAnsiTheme="minorEastAsia"/>
                <w:szCs w:val="21"/>
              </w:rPr>
            </w:pPr>
          </w:p>
        </w:tc>
        <w:tc>
          <w:tcPr>
            <w:tcW w:w="3115" w:type="dxa"/>
          </w:tcPr>
          <w:p w14:paraId="748FC821">
            <w:pPr>
              <w:spacing w:line="560" w:lineRule="exact"/>
              <w:rPr>
                <w:rFonts w:asciiTheme="minorEastAsia" w:hAnsiTheme="minorEastAsia"/>
                <w:szCs w:val="21"/>
              </w:rPr>
            </w:pPr>
          </w:p>
        </w:tc>
        <w:tc>
          <w:tcPr>
            <w:tcW w:w="1137" w:type="dxa"/>
          </w:tcPr>
          <w:p w14:paraId="2060E8F6">
            <w:pPr>
              <w:spacing w:line="560" w:lineRule="exact"/>
              <w:rPr>
                <w:rFonts w:asciiTheme="minorEastAsia" w:hAnsiTheme="minorEastAsia"/>
                <w:szCs w:val="21"/>
              </w:rPr>
            </w:pPr>
          </w:p>
        </w:tc>
        <w:tc>
          <w:tcPr>
            <w:tcW w:w="2977" w:type="dxa"/>
          </w:tcPr>
          <w:p w14:paraId="4490ABC9">
            <w:pPr>
              <w:spacing w:line="560" w:lineRule="exact"/>
              <w:rPr>
                <w:rFonts w:asciiTheme="minorEastAsia" w:hAnsiTheme="minorEastAsia"/>
                <w:szCs w:val="21"/>
              </w:rPr>
            </w:pPr>
          </w:p>
        </w:tc>
      </w:tr>
      <w:tr w14:paraId="4B1F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00E5E9C">
            <w:pPr>
              <w:spacing w:line="560" w:lineRule="exact"/>
              <w:rPr>
                <w:rFonts w:asciiTheme="minorEastAsia" w:hAnsiTheme="minorEastAsia"/>
                <w:szCs w:val="21"/>
              </w:rPr>
            </w:pPr>
          </w:p>
        </w:tc>
        <w:tc>
          <w:tcPr>
            <w:tcW w:w="3115" w:type="dxa"/>
          </w:tcPr>
          <w:p w14:paraId="334F5870">
            <w:pPr>
              <w:spacing w:line="560" w:lineRule="exact"/>
              <w:rPr>
                <w:rFonts w:asciiTheme="minorEastAsia" w:hAnsiTheme="minorEastAsia"/>
                <w:szCs w:val="21"/>
              </w:rPr>
            </w:pPr>
          </w:p>
        </w:tc>
        <w:tc>
          <w:tcPr>
            <w:tcW w:w="1137" w:type="dxa"/>
          </w:tcPr>
          <w:p w14:paraId="3AB7DC95">
            <w:pPr>
              <w:spacing w:line="560" w:lineRule="exact"/>
              <w:rPr>
                <w:rFonts w:asciiTheme="minorEastAsia" w:hAnsiTheme="minorEastAsia"/>
                <w:szCs w:val="21"/>
              </w:rPr>
            </w:pPr>
          </w:p>
        </w:tc>
        <w:tc>
          <w:tcPr>
            <w:tcW w:w="2977" w:type="dxa"/>
          </w:tcPr>
          <w:p w14:paraId="625B2E67">
            <w:pPr>
              <w:spacing w:line="560" w:lineRule="exact"/>
              <w:rPr>
                <w:rFonts w:asciiTheme="minorEastAsia" w:hAnsiTheme="minorEastAsia"/>
                <w:szCs w:val="21"/>
              </w:rPr>
            </w:pPr>
          </w:p>
        </w:tc>
      </w:tr>
      <w:tr w14:paraId="3426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63DAC24">
            <w:pPr>
              <w:spacing w:line="560" w:lineRule="exact"/>
              <w:rPr>
                <w:rFonts w:asciiTheme="minorEastAsia" w:hAnsiTheme="minorEastAsia"/>
                <w:szCs w:val="21"/>
              </w:rPr>
            </w:pPr>
          </w:p>
        </w:tc>
        <w:tc>
          <w:tcPr>
            <w:tcW w:w="3115" w:type="dxa"/>
          </w:tcPr>
          <w:p w14:paraId="6C09E604">
            <w:pPr>
              <w:spacing w:line="560" w:lineRule="exact"/>
              <w:rPr>
                <w:rFonts w:asciiTheme="minorEastAsia" w:hAnsiTheme="minorEastAsia"/>
                <w:szCs w:val="21"/>
              </w:rPr>
            </w:pPr>
          </w:p>
        </w:tc>
        <w:tc>
          <w:tcPr>
            <w:tcW w:w="1137" w:type="dxa"/>
          </w:tcPr>
          <w:p w14:paraId="755333FA">
            <w:pPr>
              <w:spacing w:line="560" w:lineRule="exact"/>
              <w:rPr>
                <w:rFonts w:asciiTheme="minorEastAsia" w:hAnsiTheme="minorEastAsia"/>
                <w:szCs w:val="21"/>
              </w:rPr>
            </w:pPr>
          </w:p>
        </w:tc>
        <w:tc>
          <w:tcPr>
            <w:tcW w:w="2977" w:type="dxa"/>
          </w:tcPr>
          <w:p w14:paraId="019C23B4">
            <w:pPr>
              <w:spacing w:line="560" w:lineRule="exact"/>
              <w:rPr>
                <w:rFonts w:asciiTheme="minorEastAsia" w:hAnsiTheme="minorEastAsia"/>
                <w:szCs w:val="21"/>
              </w:rPr>
            </w:pPr>
          </w:p>
        </w:tc>
      </w:tr>
      <w:tr w14:paraId="16E6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FACAC97">
            <w:pPr>
              <w:spacing w:line="560" w:lineRule="exact"/>
              <w:rPr>
                <w:rFonts w:asciiTheme="minorEastAsia" w:hAnsiTheme="minorEastAsia"/>
                <w:szCs w:val="21"/>
              </w:rPr>
            </w:pPr>
          </w:p>
        </w:tc>
        <w:tc>
          <w:tcPr>
            <w:tcW w:w="3115" w:type="dxa"/>
          </w:tcPr>
          <w:p w14:paraId="363904BF">
            <w:pPr>
              <w:spacing w:line="560" w:lineRule="exact"/>
              <w:rPr>
                <w:rFonts w:asciiTheme="minorEastAsia" w:hAnsiTheme="minorEastAsia"/>
                <w:szCs w:val="21"/>
              </w:rPr>
            </w:pPr>
          </w:p>
        </w:tc>
        <w:tc>
          <w:tcPr>
            <w:tcW w:w="1137" w:type="dxa"/>
          </w:tcPr>
          <w:p w14:paraId="69A1BB72">
            <w:pPr>
              <w:spacing w:line="560" w:lineRule="exact"/>
              <w:rPr>
                <w:rFonts w:asciiTheme="minorEastAsia" w:hAnsiTheme="minorEastAsia"/>
                <w:szCs w:val="21"/>
              </w:rPr>
            </w:pPr>
          </w:p>
        </w:tc>
        <w:tc>
          <w:tcPr>
            <w:tcW w:w="2977" w:type="dxa"/>
          </w:tcPr>
          <w:p w14:paraId="4C019C86">
            <w:pPr>
              <w:spacing w:line="560" w:lineRule="exact"/>
              <w:rPr>
                <w:rFonts w:asciiTheme="minorEastAsia" w:hAnsiTheme="minorEastAsia"/>
                <w:szCs w:val="21"/>
              </w:rPr>
            </w:pPr>
          </w:p>
        </w:tc>
      </w:tr>
      <w:tr w14:paraId="4BD0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47819C1">
            <w:pPr>
              <w:spacing w:line="560" w:lineRule="exact"/>
              <w:rPr>
                <w:rFonts w:asciiTheme="minorEastAsia" w:hAnsiTheme="minorEastAsia"/>
                <w:szCs w:val="21"/>
              </w:rPr>
            </w:pPr>
          </w:p>
        </w:tc>
        <w:tc>
          <w:tcPr>
            <w:tcW w:w="3115" w:type="dxa"/>
          </w:tcPr>
          <w:p w14:paraId="7A6D8F35">
            <w:pPr>
              <w:spacing w:line="560" w:lineRule="exact"/>
              <w:rPr>
                <w:rFonts w:asciiTheme="minorEastAsia" w:hAnsiTheme="minorEastAsia"/>
                <w:szCs w:val="21"/>
              </w:rPr>
            </w:pPr>
          </w:p>
        </w:tc>
        <w:tc>
          <w:tcPr>
            <w:tcW w:w="1137" w:type="dxa"/>
          </w:tcPr>
          <w:p w14:paraId="7DFE1F00">
            <w:pPr>
              <w:spacing w:line="560" w:lineRule="exact"/>
              <w:rPr>
                <w:rFonts w:asciiTheme="minorEastAsia" w:hAnsiTheme="minorEastAsia"/>
                <w:szCs w:val="21"/>
              </w:rPr>
            </w:pPr>
          </w:p>
        </w:tc>
        <w:tc>
          <w:tcPr>
            <w:tcW w:w="2977" w:type="dxa"/>
          </w:tcPr>
          <w:p w14:paraId="1B97E22C">
            <w:pPr>
              <w:spacing w:line="560" w:lineRule="exact"/>
              <w:rPr>
                <w:rFonts w:asciiTheme="minorEastAsia" w:hAnsiTheme="minorEastAsia"/>
                <w:szCs w:val="21"/>
              </w:rPr>
            </w:pPr>
          </w:p>
        </w:tc>
      </w:tr>
      <w:tr w14:paraId="5C40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AA2E0E3">
            <w:pPr>
              <w:spacing w:line="560" w:lineRule="exact"/>
              <w:rPr>
                <w:rFonts w:asciiTheme="minorEastAsia" w:hAnsiTheme="minorEastAsia"/>
                <w:szCs w:val="21"/>
              </w:rPr>
            </w:pPr>
          </w:p>
        </w:tc>
        <w:tc>
          <w:tcPr>
            <w:tcW w:w="3115" w:type="dxa"/>
          </w:tcPr>
          <w:p w14:paraId="242BDB6C">
            <w:pPr>
              <w:spacing w:line="560" w:lineRule="exact"/>
              <w:rPr>
                <w:rFonts w:asciiTheme="minorEastAsia" w:hAnsiTheme="minorEastAsia"/>
                <w:szCs w:val="21"/>
              </w:rPr>
            </w:pPr>
          </w:p>
        </w:tc>
        <w:tc>
          <w:tcPr>
            <w:tcW w:w="1137" w:type="dxa"/>
          </w:tcPr>
          <w:p w14:paraId="35141868">
            <w:pPr>
              <w:spacing w:line="560" w:lineRule="exact"/>
              <w:rPr>
                <w:rFonts w:asciiTheme="minorEastAsia" w:hAnsiTheme="minorEastAsia"/>
                <w:szCs w:val="21"/>
              </w:rPr>
            </w:pPr>
          </w:p>
        </w:tc>
        <w:tc>
          <w:tcPr>
            <w:tcW w:w="2977" w:type="dxa"/>
          </w:tcPr>
          <w:p w14:paraId="213A3776">
            <w:pPr>
              <w:spacing w:line="560" w:lineRule="exact"/>
              <w:rPr>
                <w:rFonts w:asciiTheme="minorEastAsia" w:hAnsiTheme="minorEastAsia"/>
                <w:szCs w:val="21"/>
              </w:rPr>
            </w:pPr>
          </w:p>
        </w:tc>
      </w:tr>
      <w:tr w14:paraId="6626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071BDED">
            <w:pPr>
              <w:spacing w:line="560" w:lineRule="exact"/>
              <w:rPr>
                <w:rFonts w:asciiTheme="minorEastAsia" w:hAnsiTheme="minorEastAsia"/>
                <w:szCs w:val="21"/>
              </w:rPr>
            </w:pPr>
          </w:p>
        </w:tc>
        <w:tc>
          <w:tcPr>
            <w:tcW w:w="3115" w:type="dxa"/>
          </w:tcPr>
          <w:p w14:paraId="56A52892">
            <w:pPr>
              <w:spacing w:line="560" w:lineRule="exact"/>
              <w:rPr>
                <w:rFonts w:asciiTheme="minorEastAsia" w:hAnsiTheme="minorEastAsia"/>
                <w:szCs w:val="21"/>
              </w:rPr>
            </w:pPr>
          </w:p>
        </w:tc>
        <w:tc>
          <w:tcPr>
            <w:tcW w:w="1137" w:type="dxa"/>
          </w:tcPr>
          <w:p w14:paraId="1AEE9560">
            <w:pPr>
              <w:spacing w:line="560" w:lineRule="exact"/>
              <w:rPr>
                <w:rFonts w:asciiTheme="minorEastAsia" w:hAnsiTheme="minorEastAsia"/>
                <w:szCs w:val="21"/>
              </w:rPr>
            </w:pPr>
          </w:p>
        </w:tc>
        <w:tc>
          <w:tcPr>
            <w:tcW w:w="2977" w:type="dxa"/>
          </w:tcPr>
          <w:p w14:paraId="7658B0E9">
            <w:pPr>
              <w:spacing w:line="560" w:lineRule="exact"/>
              <w:rPr>
                <w:rFonts w:asciiTheme="minorEastAsia" w:hAnsiTheme="minorEastAsia"/>
                <w:szCs w:val="21"/>
              </w:rPr>
            </w:pPr>
          </w:p>
        </w:tc>
      </w:tr>
      <w:tr w14:paraId="3671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8F6280E">
            <w:pPr>
              <w:spacing w:line="560" w:lineRule="exact"/>
              <w:rPr>
                <w:rFonts w:asciiTheme="minorEastAsia" w:hAnsiTheme="minorEastAsia"/>
                <w:szCs w:val="21"/>
              </w:rPr>
            </w:pPr>
          </w:p>
        </w:tc>
        <w:tc>
          <w:tcPr>
            <w:tcW w:w="3115" w:type="dxa"/>
          </w:tcPr>
          <w:p w14:paraId="6C34070B">
            <w:pPr>
              <w:spacing w:line="560" w:lineRule="exact"/>
              <w:rPr>
                <w:rFonts w:asciiTheme="minorEastAsia" w:hAnsiTheme="minorEastAsia"/>
                <w:szCs w:val="21"/>
              </w:rPr>
            </w:pPr>
          </w:p>
        </w:tc>
        <w:tc>
          <w:tcPr>
            <w:tcW w:w="1137" w:type="dxa"/>
          </w:tcPr>
          <w:p w14:paraId="4C28122E">
            <w:pPr>
              <w:spacing w:line="560" w:lineRule="exact"/>
              <w:rPr>
                <w:rFonts w:asciiTheme="minorEastAsia" w:hAnsiTheme="minorEastAsia"/>
                <w:szCs w:val="21"/>
              </w:rPr>
            </w:pPr>
          </w:p>
        </w:tc>
        <w:tc>
          <w:tcPr>
            <w:tcW w:w="2977" w:type="dxa"/>
          </w:tcPr>
          <w:p w14:paraId="2C40061C">
            <w:pPr>
              <w:spacing w:line="560" w:lineRule="exact"/>
              <w:rPr>
                <w:rFonts w:asciiTheme="minorEastAsia" w:hAnsiTheme="minorEastAsia"/>
                <w:szCs w:val="21"/>
              </w:rPr>
            </w:pPr>
          </w:p>
        </w:tc>
      </w:tr>
    </w:tbl>
    <w:p w14:paraId="60B58F4F">
      <w:pPr>
        <w:spacing w:line="560" w:lineRule="exact"/>
        <w:rPr>
          <w:rFonts w:ascii="Times New Roman" w:hAnsi="Times New Roman" w:eastAsia="黑体"/>
          <w:sz w:val="32"/>
          <w:szCs w:val="32"/>
        </w:rPr>
      </w:pPr>
    </w:p>
    <w:p w14:paraId="2DE89CEE">
      <w:pPr>
        <w:spacing w:line="560" w:lineRule="exact"/>
        <w:rPr>
          <w:rFonts w:ascii="宋体" w:hAnsi="宋体"/>
          <w:szCs w:val="21"/>
          <w:u w:val="single"/>
        </w:rPr>
      </w:pPr>
      <w:r>
        <w:rPr>
          <w:rFonts w:hint="eastAsia" w:ascii="宋体" w:hAnsi="宋体"/>
          <w:szCs w:val="21"/>
        </w:rPr>
        <w:t>培训机构地址：</w:t>
      </w:r>
    </w:p>
    <w:p w14:paraId="44268B5E">
      <w:pPr>
        <w:spacing w:line="560" w:lineRule="exact"/>
        <w:rPr>
          <w:rFonts w:ascii="宋体" w:hAnsi="宋体"/>
          <w:szCs w:val="21"/>
        </w:rPr>
      </w:pPr>
      <w:r>
        <w:rPr>
          <w:rFonts w:hint="eastAsia" w:ascii="宋体" w:hAnsi="宋体"/>
          <w:szCs w:val="21"/>
        </w:rPr>
        <w:t>承担政府补贴培训项目起止时间：      年  月   日至   年   月   日</w:t>
      </w:r>
    </w:p>
    <w:p w14:paraId="583279A0">
      <w:pPr>
        <w:spacing w:line="560" w:lineRule="exact"/>
        <w:rPr>
          <w:rFonts w:ascii="宋体" w:hAnsi="宋体"/>
          <w:szCs w:val="21"/>
        </w:rPr>
      </w:pPr>
      <w:r>
        <w:rPr>
          <w:rFonts w:hint="eastAsia" w:ascii="宋体" w:hAnsi="宋体"/>
          <w:szCs w:val="21"/>
        </w:rPr>
        <w:t>联系人：                                       联系电话：</w:t>
      </w:r>
    </w:p>
    <w:p w14:paraId="1C8F4830">
      <w:pPr>
        <w:rPr>
          <w:rFonts w:ascii="仿宋_GB2312" w:hAnsi="Verdana" w:eastAsia="仿宋_GB2312" w:cs="宋体"/>
          <w:color w:val="000000"/>
          <w:kern w:val="0"/>
          <w:sz w:val="32"/>
          <w:szCs w:val="32"/>
        </w:rPr>
      </w:pPr>
    </w:p>
    <w:p w14:paraId="220B0C49">
      <w:pPr>
        <w:ind w:firstLine="660"/>
        <w:jc w:val="center"/>
        <w:rPr>
          <w:rFonts w:ascii="仿宋_GB2312" w:hAnsi="Verdana" w:eastAsia="仿宋_GB2312" w:cs="宋体"/>
          <w:color w:val="000000"/>
          <w:kern w:val="0"/>
          <w:sz w:val="32"/>
          <w:szCs w:val="32"/>
        </w:rPr>
      </w:pP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4B6C">
    <w:pPr>
      <w:pStyle w:val="5"/>
      <w:framePr w:wrap="around" w:vAnchor="text" w:hAnchor="margin" w:xAlign="outside" w:y="1"/>
      <w:rPr>
        <w:rStyle w:val="10"/>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7</w:t>
    </w:r>
    <w:r>
      <w:rPr>
        <w:rStyle w:val="10"/>
        <w:rFonts w:ascii="宋体" w:hAnsi="宋体"/>
        <w:sz w:val="28"/>
        <w:szCs w:val="28"/>
      </w:rPr>
      <w:fldChar w:fldCharType="end"/>
    </w:r>
  </w:p>
  <w:p w14:paraId="79C191FD">
    <w:pPr>
      <w:pStyle w:val="5"/>
      <w:framePr w:wrap="around" w:vAnchor="text" w:hAnchor="page" w:x="10081" w:yAlign="center"/>
      <w:ind w:right="360" w:firstLine="360"/>
      <w:rPr>
        <w:rStyle w:val="10"/>
      </w:rPr>
    </w:pPr>
  </w:p>
  <w:p w14:paraId="3651392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9415D">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08C67DB5">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121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NjJiYzI4ZDViNTNlOTk2M2MyMDEyMDQ0MTYyNWQifQ=="/>
  </w:docVars>
  <w:rsids>
    <w:rsidRoot w:val="002D572E"/>
    <w:rsid w:val="0007639F"/>
    <w:rsid w:val="00081208"/>
    <w:rsid w:val="00081411"/>
    <w:rsid w:val="000C0C1A"/>
    <w:rsid w:val="000D301D"/>
    <w:rsid w:val="000E5541"/>
    <w:rsid w:val="000F5271"/>
    <w:rsid w:val="0012115A"/>
    <w:rsid w:val="00121D64"/>
    <w:rsid w:val="0020348F"/>
    <w:rsid w:val="002369E6"/>
    <w:rsid w:val="002531C3"/>
    <w:rsid w:val="00266936"/>
    <w:rsid w:val="00266FCF"/>
    <w:rsid w:val="002D572E"/>
    <w:rsid w:val="002F72C4"/>
    <w:rsid w:val="003946B6"/>
    <w:rsid w:val="003C033C"/>
    <w:rsid w:val="003C4D4A"/>
    <w:rsid w:val="003E4820"/>
    <w:rsid w:val="00471A98"/>
    <w:rsid w:val="004A21D6"/>
    <w:rsid w:val="004C206B"/>
    <w:rsid w:val="004F1C61"/>
    <w:rsid w:val="005032AD"/>
    <w:rsid w:val="0055485A"/>
    <w:rsid w:val="00561D87"/>
    <w:rsid w:val="005668A0"/>
    <w:rsid w:val="005778E2"/>
    <w:rsid w:val="005816F5"/>
    <w:rsid w:val="005A3FC6"/>
    <w:rsid w:val="005B2927"/>
    <w:rsid w:val="005D0DE4"/>
    <w:rsid w:val="005F0275"/>
    <w:rsid w:val="005F3CD9"/>
    <w:rsid w:val="00601AB7"/>
    <w:rsid w:val="00630278"/>
    <w:rsid w:val="006441A4"/>
    <w:rsid w:val="00687ED8"/>
    <w:rsid w:val="006E0B45"/>
    <w:rsid w:val="006F6DE5"/>
    <w:rsid w:val="007560EE"/>
    <w:rsid w:val="007F462D"/>
    <w:rsid w:val="00825DB2"/>
    <w:rsid w:val="00852E61"/>
    <w:rsid w:val="00944F60"/>
    <w:rsid w:val="00963BD4"/>
    <w:rsid w:val="00980C2C"/>
    <w:rsid w:val="00986139"/>
    <w:rsid w:val="0099039E"/>
    <w:rsid w:val="00990D19"/>
    <w:rsid w:val="00994B4F"/>
    <w:rsid w:val="00997C1A"/>
    <w:rsid w:val="009E7129"/>
    <w:rsid w:val="009F494A"/>
    <w:rsid w:val="00A05879"/>
    <w:rsid w:val="00A06893"/>
    <w:rsid w:val="00A17F85"/>
    <w:rsid w:val="00A442DB"/>
    <w:rsid w:val="00A65013"/>
    <w:rsid w:val="00AE7932"/>
    <w:rsid w:val="00B53F14"/>
    <w:rsid w:val="00BA50DA"/>
    <w:rsid w:val="00BC7BAA"/>
    <w:rsid w:val="00BF1C4F"/>
    <w:rsid w:val="00BF5693"/>
    <w:rsid w:val="00C21224"/>
    <w:rsid w:val="00C21F5A"/>
    <w:rsid w:val="00C4419E"/>
    <w:rsid w:val="00C5433F"/>
    <w:rsid w:val="00C60E31"/>
    <w:rsid w:val="00D053D1"/>
    <w:rsid w:val="00D22474"/>
    <w:rsid w:val="00D23C97"/>
    <w:rsid w:val="00D41D4F"/>
    <w:rsid w:val="00D95CD6"/>
    <w:rsid w:val="00DA5C17"/>
    <w:rsid w:val="00DB37CF"/>
    <w:rsid w:val="00E07A78"/>
    <w:rsid w:val="00E15079"/>
    <w:rsid w:val="00E32FB6"/>
    <w:rsid w:val="00E409C4"/>
    <w:rsid w:val="00E44E45"/>
    <w:rsid w:val="00E70938"/>
    <w:rsid w:val="00EA440D"/>
    <w:rsid w:val="00F05ED8"/>
    <w:rsid w:val="00F071ED"/>
    <w:rsid w:val="00F1188B"/>
    <w:rsid w:val="00F25838"/>
    <w:rsid w:val="00F74C4A"/>
    <w:rsid w:val="0AF0055B"/>
    <w:rsid w:val="0EFB4316"/>
    <w:rsid w:val="11C76523"/>
    <w:rsid w:val="15D709F6"/>
    <w:rsid w:val="215A0C43"/>
    <w:rsid w:val="2295256F"/>
    <w:rsid w:val="22E34C7E"/>
    <w:rsid w:val="27FE6D43"/>
    <w:rsid w:val="2869178C"/>
    <w:rsid w:val="297722A7"/>
    <w:rsid w:val="3D015A1F"/>
    <w:rsid w:val="411038FB"/>
    <w:rsid w:val="4C626D86"/>
    <w:rsid w:val="4D7B08F8"/>
    <w:rsid w:val="54DC6230"/>
    <w:rsid w:val="56C3153F"/>
    <w:rsid w:val="571D5BEA"/>
    <w:rsid w:val="57706EFE"/>
    <w:rsid w:val="5E5120CC"/>
    <w:rsid w:val="64630A2C"/>
    <w:rsid w:val="66C63E90"/>
    <w:rsid w:val="68D76B13"/>
    <w:rsid w:val="68FB6A95"/>
    <w:rsid w:val="696E7CA7"/>
    <w:rsid w:val="6C354B80"/>
    <w:rsid w:val="744D4A84"/>
    <w:rsid w:val="790F4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character" w:styleId="10">
    <w:name w:val="page number"/>
    <w:basedOn w:val="9"/>
    <w:qFormat/>
    <w:uiPriority w:val="99"/>
    <w:rPr>
      <w:rFonts w:cs="Times New Roman"/>
    </w:rPr>
  </w:style>
  <w:style w:type="character" w:styleId="11">
    <w:name w:val="Hyperlink"/>
    <w:basedOn w:val="9"/>
    <w:unhideWhenUsed/>
    <w:qFormat/>
    <w:uiPriority w:val="99"/>
    <w:rPr>
      <w:color w:val="0000FF"/>
      <w:u w:val="single"/>
    </w:rPr>
  </w:style>
  <w:style w:type="character" w:customStyle="1" w:styleId="12">
    <w:name w:val="apple-converted-space"/>
    <w:basedOn w:val="9"/>
    <w:qFormat/>
    <w:uiPriority w:val="0"/>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日期 Char"/>
    <w:basedOn w:val="9"/>
    <w:link w:val="3"/>
    <w:semiHidden/>
    <w:qFormat/>
    <w:uiPriority w:val="99"/>
  </w:style>
  <w:style w:type="character" w:customStyle="1" w:styleId="16">
    <w:name w:val="批注框文本 Char"/>
    <w:basedOn w:val="9"/>
    <w:link w:val="4"/>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ask-title"/>
    <w:basedOn w:val="9"/>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2659</Words>
  <Characters>2679</Characters>
  <Lines>20</Lines>
  <Paragraphs>5</Paragraphs>
  <TotalTime>0</TotalTime>
  <ScaleCrop>false</ScaleCrop>
  <LinksUpToDate>false</LinksUpToDate>
  <CharactersWithSpaces>2815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2018-03-30T03:06:00Z</dcterms:created>
  <dc:creator>lenovo</dc:creator>
  <cp:lastModifiedBy>晴晴</cp:lastModifiedBy>
  <cp:lastPrinted>2021-06-18T02:14:00Z</cp:lastPrinted>
  <dcterms:modified xsi:type="dcterms:W3CDTF">2024-11-05T06:48:11Z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05F000A4F2FC4C80B4BB9B24AEA7DAF6_13</vt:lpwstr>
  </property>
</Properties>
</file>