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p>
    <w:p>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高新区市场监督管理局</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21年部门预算</w:t>
      </w:r>
    </w:p>
    <w:p>
      <w:pPr>
        <w:widowControl/>
        <w:spacing w:line="330" w:lineRule="atLeast"/>
        <w:jc w:val="left"/>
        <w:rPr>
          <w:rFonts w:ascii="Verdana" w:hAnsi="Verdana" w:eastAsia="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一）负责市场综合监督管理。贯彻执行国家、省、市市场监督管理的方针、政策和有关法律法规，组织实施质量强区、食品安全和标准化等战略，拟订并组织实施有关规划，规范和维护市场秩序，营造诚实守信、公平竞争的市场环境。</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负责市场主体统一登记注册。负责辖区各类企业、农民专业合作社和从事经营活动的单位、个体工商户以及外国（地区）企业等市场主体的登记注册和监督管理工作。建立市场主体信息公示和共享机制，依法公示和共享有关信息，加强信用监管，推动市场主体信用体系建设。</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（三）负责组织和指导市场监管综合执法工作。组织和实施市场监管综合执法队伍整合和建设，推动实行统一的市场监管。规范市场监管行政执法行为。</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四）负责监督管理市场秩序。依法监督管理市场交易、网络商品交易及有关服务的行为。组织指导查处价格收费违法违规、不正当竞争、违法直销、传销、侵犯商标专利知识产权和制售假冒伪劣行为。指导广告业的发展，监督管理广告活动。依法查处无证照生产经营食品、药品等违法行为,负责反垄断相关工作。负责组织、指导和监督管理行政审批中介服务机构。</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五）负责宏观质量管理。拟订并组织实施质量发展的制度措施，会同有关部门组织实施重大工程设备质量监理制度，组织重大产品质量事故调查，贯彻实施缺陷产品召回制度，监督管理产品防伪工作。承担质量强区工作领导小组办公室日常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（六）负责产品质量安全监督管理。负责产品质量监督抽查和风险监控工作，组织实施质量分级制度、质量安全追溯制度。管理工业产品生产许可。承担区“打假治劣”领导小组办公室具体工作。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（七）负责特种设备安全监督管理。综合管理特种设备安全监察、监督工作，监督检查高耗能特种设备节能标准和锅炉环境保护标准的执行情况。</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（八）负责食品安全监督管理综合协调。负责食品安全应急体系建设，组织指导重大食品安全事件应急处置和调查处理工作。建立健全食品安全重要信息直报制度。承担区管委会食品安全委员会日常工作。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九）负责食品安全监督管理。建立覆盖食品生产、流通、消费全过程的监督检查制度和隐患排查治理机制并组织实施，防范区域性、系统性食品药品安全风险。推动建立食品生产经营者落实主体责任的机制，健全食品安全追溯体系。组织开展食品安全监督抽检、风险监测、核查处置和风险预警、风险交流工作。组织实施特殊食品注册、备案和监督管理。</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（十）负责统一管理计量工作。推行国家法定计量单位，执行国家计量制度，管理计量器具及量值传递和比对工作。规范、监督商品量和市场计量行为。</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（十一）负责统一管理标准化工作。依法推进地方标准、团体标准制定工作。承担区标准化工作</w:t>
      </w:r>
      <w:r>
        <w:rPr>
          <w:rFonts w:hint="eastAsia" w:ascii="仿宋" w:hAnsi="仿宋" w:eastAsia="仿宋"/>
          <w:sz w:val="30"/>
          <w:szCs w:val="30"/>
          <w:lang w:eastAsia="zh-CN"/>
        </w:rPr>
        <w:t>联席会议</w:t>
      </w:r>
      <w:bookmarkStart w:id="0" w:name="_GoBack"/>
      <w:bookmarkEnd w:id="0"/>
      <w:r>
        <w:rPr>
          <w:rFonts w:hint="eastAsia" w:ascii="仿宋" w:hAnsi="仿宋" w:eastAsia="仿宋"/>
          <w:sz w:val="30"/>
          <w:szCs w:val="30"/>
        </w:rPr>
        <w:t>办公室日常工作。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（十二）负责统一管理检验检测工作。规范检验检测市场，完善检验检测体系，指导协调检验检测行业发展。</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（十三）负责统一管理、监督和综合协调认证认可工作。负责认证认可和合格评定监督管理工作。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（十四）负责市场监督管理科技和信息化建设、新闻宣传。按规定承担技术性贸易措施有关工作。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五）负责组织实施药品、医疗器械和化妆品监督检查。贯彻执行国家、省、市药品、医疗器械、化妆品安全监督管理的法律、法规和规章，制定检查制度。负责药品零售、医疗器械经营的许可、检查和处罚，以及化妆品经营和药品、医疗器械使用环节质量的检查和处罚，规范行政执法行为，完善行政执法与刑事司法衔接机制，建立问题产品召回和处置制度并监督实施。</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六）负责保护知识产权。贯彻执行国家保护商标、专利、原产地地理标志等知识产权制度，贯彻国家有关知识产权和专利工作的方针政策与法律法规。组织实施商标、专利执法工作，组织实施知识产权争议处理、维权援助和纠纷调处。</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（十七）负责促进知识产权运用。贯彻执行国家知识产权运用和规范交易的政策，促进知识产权转移转化。规范知识产权无形资产评估工作。指导知识产权中介服务机构工作。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（十八）贯彻执行国家知识产权确权、侵权判断标准，依授权负责知识产权申请相关管理工作。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（十九）负责建立知识产权公共服务体系。推动商标、专利等知识产权信息的传播利用。</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（二十）负责拟订全区知识产权信息网络发展规划并组织实施，指导全区专利信息利用和服务工作。</w:t>
      </w:r>
    </w:p>
    <w:p>
      <w:pPr>
        <w:spacing w:line="580" w:lineRule="exact"/>
        <w:ind w:firstLine="600" w:firstLineChars="200"/>
        <w:rPr>
          <w:rFonts w:ascii="仿宋" w:hAnsi="仿宋" w:eastAsia="仿宋"/>
          <w:sz w:val="30"/>
          <w:szCs w:val="30"/>
        </w:rPr>
      </w:pPr>
      <w:r>
        <w:rPr>
          <w:rFonts w:hint="eastAsia" w:ascii="仿宋" w:hAnsi="仿宋" w:eastAsia="仿宋"/>
          <w:sz w:val="30"/>
          <w:szCs w:val="30"/>
        </w:rPr>
        <w:t>（二十一）完成区党工委、管委会交办的其他工作。</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w:t>
      </w:r>
      <w:r>
        <w:rPr>
          <w:rFonts w:hint="eastAsia" w:ascii="仿宋" w:hAnsi="仿宋" w:eastAsia="仿宋" w:cs="仿宋"/>
          <w:bCs/>
          <w:sz w:val="30"/>
          <w:szCs w:val="30"/>
        </w:rPr>
        <w:t>市场监督管理局</w:t>
      </w:r>
      <w:r>
        <w:rPr>
          <w:rFonts w:hint="eastAsia" w:ascii="仿宋" w:hAnsi="仿宋" w:eastAsia="仿宋" w:cs="仿宋"/>
          <w:color w:val="000000"/>
          <w:kern w:val="0"/>
          <w:sz w:val="30"/>
          <w:szCs w:val="30"/>
        </w:rPr>
        <w:t>部门预算为本部综合收支计划，无二级单位。</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pPr>
        <w:widowControl/>
        <w:spacing w:line="330" w:lineRule="atLeast"/>
        <w:ind w:firstLine="600" w:firstLineChars="200"/>
        <w:jc w:val="left"/>
        <w:rPr>
          <w:rFonts w:ascii="仿宋" w:hAnsi="仿宋" w:eastAsia="仿宋"/>
          <w:color w:val="FF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按照综合预算的原则，本部门所有收入和支出均纳入部门预算管理，无下级预算单位。收入包括：财政拨款收入1957.4万元；支出包括：工资福利和对个人家庭补助支出1349.6万元，</w:t>
      </w:r>
      <w:r>
        <w:rPr>
          <w:rFonts w:hint="eastAsia" w:ascii="仿宋" w:hAnsi="仿宋" w:eastAsia="仿宋" w:cs="仿宋"/>
          <w:sz w:val="30"/>
          <w:szCs w:val="30"/>
        </w:rPr>
        <w:t>商品和服务支出607.8万元。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20年预算数增加1315.8万元，其中工资福利和对个人家庭补助支出增加1349.6万元，</w:t>
      </w:r>
      <w:r>
        <w:rPr>
          <w:rFonts w:hint="eastAsia" w:ascii="仿宋" w:hAnsi="仿宋" w:eastAsia="仿宋" w:cs="仿宋"/>
          <w:sz w:val="30"/>
          <w:szCs w:val="30"/>
        </w:rPr>
        <w:t>商品和服务支出减少33.8万元。</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无“三公”经费。主要</w:t>
      </w:r>
      <w:r>
        <w:rPr>
          <w:rFonts w:hint="eastAsia" w:ascii="仿宋" w:hAnsi="仿宋" w:eastAsia="仿宋" w:cs="仿宋"/>
          <w:color w:val="000000"/>
          <w:kern w:val="0"/>
          <w:sz w:val="30"/>
          <w:szCs w:val="30"/>
        </w:rPr>
        <w:t>是按照中央及市委、市政府关于厉行节约、改进工作作风、密切联系群众“八项规定”等有关要求，严格控制“三公”经费支出。</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机关运行经费包括定额公用经费20.8万元。比去年减少23.8。主要是机构改革，人员减少。</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四、政府采购情况说明</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食品药品保健品监督抽检经费165万元；特种设备安全技术服务费（一）159.8万元。</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国有资产占有使用情况说明为：截至2020年12月31日，部门（单位）共有车辆0辆；单位价值50万元（含）以上通用设备0台（套）；单位价值100万元以上专用设备0台（套）。</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pPr>
        <w:widowControl/>
        <w:spacing w:line="330" w:lineRule="atLeast"/>
        <w:ind w:firstLine="600" w:firstLineChars="200"/>
        <w:jc w:val="left"/>
        <w:rPr>
          <w:rFonts w:ascii="仿宋" w:hAnsi="仿宋" w:eastAsia="仿宋" w:cs="仿宋"/>
          <w:kern w:val="0"/>
          <w:sz w:val="30"/>
          <w:szCs w:val="30"/>
        </w:rPr>
      </w:pPr>
      <w:r>
        <w:rPr>
          <w:rFonts w:ascii="仿宋" w:hAnsi="仿宋" w:eastAsia="仿宋" w:cs="仿宋"/>
          <w:kern w:val="0"/>
          <w:sz w:val="30"/>
          <w:szCs w:val="30"/>
        </w:rPr>
        <w:t>20</w:t>
      </w:r>
      <w:r>
        <w:rPr>
          <w:rFonts w:hint="eastAsia" w:ascii="仿宋" w:hAnsi="仿宋" w:eastAsia="仿宋" w:cs="仿宋"/>
          <w:kern w:val="0"/>
          <w:sz w:val="30"/>
          <w:szCs w:val="30"/>
        </w:rPr>
        <w:t>21年，按照“先有绩效，后有预算”原则，本部门共计编制绩效目标11个，预算金额</w:t>
      </w:r>
      <w:r>
        <w:rPr>
          <w:rFonts w:ascii="仿宋" w:hAnsi="仿宋" w:eastAsia="仿宋" w:cs="仿宋"/>
          <w:kern w:val="0"/>
          <w:sz w:val="30"/>
          <w:szCs w:val="30"/>
        </w:rPr>
        <w:t>59</w:t>
      </w:r>
      <w:r>
        <w:rPr>
          <w:rFonts w:hint="eastAsia" w:ascii="仿宋" w:hAnsi="仿宋" w:eastAsia="仿宋" w:cs="仿宋"/>
          <w:kern w:val="0"/>
          <w:sz w:val="30"/>
          <w:szCs w:val="30"/>
        </w:rPr>
        <w:t>1万元，占项目支出预算比重</w:t>
      </w:r>
      <w:r>
        <w:rPr>
          <w:rFonts w:ascii="仿宋" w:hAnsi="仿宋" w:eastAsia="仿宋" w:cs="仿宋"/>
          <w:kern w:val="0"/>
          <w:sz w:val="30"/>
          <w:szCs w:val="30"/>
        </w:rPr>
        <w:t>100%</w:t>
      </w:r>
      <w:r>
        <w:rPr>
          <w:rFonts w:hint="eastAsia" w:ascii="仿宋" w:hAnsi="仿宋" w:eastAsia="仿宋" w:cs="仿宋"/>
          <w:kern w:val="0"/>
          <w:sz w:val="30"/>
          <w:szCs w:val="30"/>
        </w:rPr>
        <w:t>。</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八、质量奖配套奖励项目情况</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2017年9月，中共中央、国务院制定了《关于开展质量提升行动的指导意见》（中发〔2017〕24号），明确提出了“建设质量强国取得明显成效，质量总体水平显著提升，质量对提高全要素生产率和促进经济发展的贡献进一步增强，更好满足人民群众不断升级的消费需求”，随后，辽宁省、大连市相继制定了本区域实施意见。2018年11月26日，中共大连高新区工作委员会、大连高新区管理委员会制定了《关于开展质量提升行动 推动质量强区建设的实施意见》（大高党工发〔2018〕48号），在完善质量激励机制中明确提出：“对获得中国质量奖和提名奖的单位分别配套奖励100万元、50万元；获得省长质量奖金奖和银奖的单位分别配套奖励50万元、30万元；获得市长质量奖和提名奖的单位分别配套奖励30万元、20万元”。</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《中共大连高新区工作委员会 大连高新区管理委员会关于开展质量提升行动 推动质量强区建设的实施意见》（大高党工发〔2018〕48号），《国家、省、市质量奖配套奖励办法》（大高管办发〔2019〕33号）。</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区市场监管局、区财政局。</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pPr>
        <w:tabs>
          <w:tab w:val="left" w:pos="2552"/>
          <w:tab w:val="left" w:pos="2694"/>
          <w:tab w:val="left" w:pos="6379"/>
        </w:tabs>
        <w:snapToGrid w:val="0"/>
        <w:spacing w:line="600" w:lineRule="exact"/>
        <w:ind w:firstLine="606" w:firstLineChars="202"/>
        <w:contextualSpacing/>
        <w:rPr>
          <w:rFonts w:ascii="仿宋" w:hAnsi="仿宋" w:eastAsia="仿宋" w:cs="仿宋"/>
          <w:color w:val="000000"/>
          <w:kern w:val="0"/>
          <w:sz w:val="30"/>
          <w:szCs w:val="30"/>
        </w:rPr>
      </w:pPr>
      <w:r>
        <w:rPr>
          <w:rFonts w:hint="eastAsia" w:ascii="仿宋" w:hAnsi="仿宋" w:eastAsia="仿宋" w:cs="仿宋"/>
          <w:color w:val="000000"/>
          <w:kern w:val="0"/>
          <w:sz w:val="30"/>
          <w:szCs w:val="30"/>
        </w:rPr>
        <w:t>根据《大连高新区管理委员会办公室关于印发&lt;国家、省、市质量奖配套奖励办法&gt;的通知》（大高管办发〔2019〕33号）:</w:t>
      </w:r>
    </w:p>
    <w:p>
      <w:pPr>
        <w:tabs>
          <w:tab w:val="left" w:pos="2552"/>
          <w:tab w:val="left" w:pos="2694"/>
          <w:tab w:val="left" w:pos="6379"/>
        </w:tabs>
        <w:snapToGrid w:val="0"/>
        <w:spacing w:line="600" w:lineRule="exact"/>
        <w:ind w:firstLine="606" w:firstLineChars="202"/>
        <w:contextualSpacing/>
        <w:rPr>
          <w:rFonts w:ascii="仿宋" w:hAnsi="仿宋" w:eastAsia="仿宋" w:cs="仿宋"/>
          <w:sz w:val="30"/>
          <w:szCs w:val="30"/>
        </w:rPr>
      </w:pPr>
      <w:r>
        <w:rPr>
          <w:rFonts w:hint="eastAsia" w:ascii="仿宋" w:hAnsi="仿宋" w:eastAsia="仿宋" w:cs="仿宋"/>
          <w:sz w:val="30"/>
          <w:szCs w:val="30"/>
        </w:rPr>
        <w:t>(1) 区市场监管局对申报材料进行审核，符合条件且材料齐全的予以受理；申报材料不符合要求的，应当一次性告知申请人需要补正的全部内容，限期10个工作日内予以补充完善，逾期未能补充完善的，不予受理。</w:t>
      </w:r>
    </w:p>
    <w:p>
      <w:pPr>
        <w:tabs>
          <w:tab w:val="left" w:pos="2552"/>
          <w:tab w:val="left" w:pos="2694"/>
          <w:tab w:val="left" w:pos="6379"/>
        </w:tabs>
        <w:snapToGrid w:val="0"/>
        <w:spacing w:line="600" w:lineRule="exact"/>
        <w:ind w:firstLine="606" w:firstLineChars="202"/>
        <w:contextualSpacing/>
        <w:rPr>
          <w:rFonts w:ascii="仿宋" w:hAnsi="仿宋" w:eastAsia="仿宋" w:cs="仿宋"/>
          <w:sz w:val="30"/>
          <w:szCs w:val="30"/>
        </w:rPr>
      </w:pPr>
      <w:r>
        <w:rPr>
          <w:rFonts w:hint="eastAsia" w:ascii="仿宋" w:hAnsi="仿宋" w:eastAsia="仿宋" w:cs="仿宋"/>
          <w:sz w:val="30"/>
          <w:szCs w:val="30"/>
        </w:rPr>
        <w:t>(2)区市场监管局根据受理情况提出拟奖励名单，名单在区管委会网站上公示5个工作日。</w:t>
      </w:r>
    </w:p>
    <w:p>
      <w:pPr>
        <w:tabs>
          <w:tab w:val="left" w:pos="2552"/>
          <w:tab w:val="left" w:pos="2694"/>
          <w:tab w:val="left" w:pos="6379"/>
        </w:tabs>
        <w:snapToGrid w:val="0"/>
        <w:spacing w:line="600" w:lineRule="exact"/>
        <w:ind w:firstLine="606" w:firstLineChars="202"/>
        <w:contextualSpacing/>
        <w:rPr>
          <w:rFonts w:ascii="仿宋" w:hAnsi="仿宋" w:eastAsia="仿宋" w:cs="仿宋"/>
          <w:sz w:val="30"/>
          <w:szCs w:val="30"/>
        </w:rPr>
      </w:pPr>
      <w:r>
        <w:rPr>
          <w:rFonts w:hint="eastAsia" w:ascii="仿宋" w:hAnsi="仿宋" w:eastAsia="仿宋" w:cs="仿宋"/>
          <w:sz w:val="30"/>
          <w:szCs w:val="30"/>
        </w:rPr>
        <w:t>(3)区市场监管局将最终确定的奖励名单报区财政局，由区财政局负责支付。</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pPr>
        <w:ind w:firstLine="600" w:firstLineChars="200"/>
        <w:rPr>
          <w:rFonts w:ascii="仿宋" w:hAnsi="仿宋" w:eastAsia="仿宋" w:cs="仿宋"/>
          <w:color w:val="000000"/>
          <w:kern w:val="0"/>
          <w:sz w:val="30"/>
          <w:szCs w:val="30"/>
        </w:rPr>
      </w:pPr>
      <w:r>
        <w:rPr>
          <w:rFonts w:hint="eastAsia" w:ascii="仿宋" w:hAnsi="仿宋" w:eastAsia="仿宋" w:cs="仿宋"/>
          <w:sz w:val="30"/>
          <w:szCs w:val="30"/>
        </w:rPr>
        <w:t>自2019年1月1日起开始执行，有效期暂定5年。法律、法规和政策另有规定的，从其规定。</w:t>
      </w:r>
    </w:p>
    <w:p>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2021</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/政府性</w:t>
      </w:r>
      <w:r>
        <w:rPr>
          <w:rFonts w:ascii="仿宋" w:hAnsi="仿宋" w:eastAsia="仿宋" w:cs="仿宋"/>
          <w:color w:val="000000"/>
          <w:kern w:val="0"/>
          <w:sz w:val="30"/>
          <w:szCs w:val="30"/>
        </w:rPr>
        <w:t>基金</w:t>
      </w:r>
      <w:r>
        <w:rPr>
          <w:rFonts w:hint="eastAsia" w:ascii="仿宋" w:hAnsi="仿宋" w:eastAsia="仿宋" w:cs="仿宋"/>
          <w:color w:val="000000"/>
          <w:kern w:val="0"/>
          <w:sz w:val="30"/>
          <w:szCs w:val="30"/>
        </w:rPr>
        <w:t>60万元，</w:t>
      </w:r>
      <w:r>
        <w:rPr>
          <w:rFonts w:ascii="仿宋" w:hAnsi="仿宋" w:eastAsia="仿宋" w:cs="仿宋"/>
          <w:color w:val="000000"/>
          <w:kern w:val="0"/>
          <w:sz w:val="30"/>
          <w:szCs w:val="30"/>
        </w:rPr>
        <w:t>其中</w:t>
      </w:r>
      <w:r>
        <w:rPr>
          <w:rFonts w:hint="eastAsia" w:ascii="仿宋" w:hAnsi="仿宋" w:eastAsia="仿宋" w:cs="仿宋"/>
          <w:color w:val="000000"/>
          <w:kern w:val="0"/>
          <w:sz w:val="30"/>
          <w:szCs w:val="30"/>
        </w:rPr>
        <w:t>：</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市长质量奖配套奖励子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30万元，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获得市长质量奖的配套奖励；</w:t>
      </w:r>
    </w:p>
    <w:p>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市长质量奖提名奖配套奖励子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20万元，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获得市长质量奖提名奖的配套奖励。</w:t>
      </w:r>
    </w:p>
    <w:p>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专家酬金10万元，对市长质量奖梯队企业培训，2021年质量奖申报企业帮扶提升。</w:t>
      </w:r>
    </w:p>
    <w:p>
      <w:pPr>
        <w:widowControl/>
        <w:spacing w:line="330" w:lineRule="atLeast"/>
        <w:ind w:firstLine="600" w:firstLineChars="200"/>
        <w:jc w:val="left"/>
        <w:rPr>
          <w:rFonts w:ascii="仿宋" w:hAnsi="仿宋" w:eastAsia="仿宋" w:cs="仿宋"/>
          <w:color w:val="FF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pPr>
        <w:widowControl/>
        <w:spacing w:line="330" w:lineRule="atLeast"/>
        <w:ind w:firstLine="600" w:firstLineChars="200"/>
        <w:jc w:val="left"/>
        <w:rPr>
          <w:rFonts w:ascii="仿宋" w:hAnsi="仿宋" w:eastAsia="仿宋"/>
          <w:color w:val="000000"/>
          <w:kern w:val="0"/>
          <w:sz w:val="30"/>
          <w:szCs w:val="30"/>
        </w:rPr>
      </w:pPr>
    </w:p>
    <w:p>
      <w:pPr>
        <w:widowControl/>
        <w:spacing w:line="330" w:lineRule="atLeast"/>
        <w:ind w:firstLine="600" w:firstLineChars="200"/>
        <w:jc w:val="left"/>
        <w:rPr>
          <w:rFonts w:ascii="仿宋" w:hAnsi="仿宋" w:eastAsia="仿宋"/>
          <w:color w:val="000000"/>
          <w:sz w:val="30"/>
          <w:szCs w:val="30"/>
        </w:rPr>
      </w:pPr>
    </w:p>
    <w:p>
      <w:pPr>
        <w:spacing w:line="600" w:lineRule="exact"/>
        <w:rPr>
          <w:rFonts w:ascii="仿宋" w:hAnsi="仿宋" w:eastAsia="仿宋"/>
          <w:sz w:val="30"/>
          <w:szCs w:val="30"/>
        </w:rPr>
      </w:pPr>
      <w:r>
        <w:rPr>
          <w:rFonts w:ascii="仿宋" w:hAnsi="仿宋" w:eastAsia="仿宋" w:cs="仿宋"/>
          <w:sz w:val="30"/>
          <w:szCs w:val="30"/>
        </w:rPr>
        <w:t xml:space="preserve">                                 20</w:t>
      </w:r>
      <w:r>
        <w:rPr>
          <w:rFonts w:hint="eastAsia" w:ascii="仿宋" w:hAnsi="仿宋" w:eastAsia="仿宋" w:cs="仿宋"/>
          <w:sz w:val="30"/>
          <w:szCs w:val="30"/>
        </w:rPr>
        <w:t>21年2月27日</w:t>
      </w:r>
    </w:p>
    <w:p>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Verdana">
    <w:panose1 w:val="020B0604030504040204"/>
    <w:charset w:val="00"/>
    <w:family w:val="decorative"/>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00E4"/>
    <w:rsid w:val="0003473E"/>
    <w:rsid w:val="000C4FD1"/>
    <w:rsid w:val="000E59A1"/>
    <w:rsid w:val="000F7DDC"/>
    <w:rsid w:val="00103D89"/>
    <w:rsid w:val="0010550E"/>
    <w:rsid w:val="00140875"/>
    <w:rsid w:val="00164A2E"/>
    <w:rsid w:val="00173A91"/>
    <w:rsid w:val="00184705"/>
    <w:rsid w:val="00187190"/>
    <w:rsid w:val="001961A4"/>
    <w:rsid w:val="001E3E93"/>
    <w:rsid w:val="00227582"/>
    <w:rsid w:val="002577F0"/>
    <w:rsid w:val="00261359"/>
    <w:rsid w:val="00262579"/>
    <w:rsid w:val="00264775"/>
    <w:rsid w:val="002C769F"/>
    <w:rsid w:val="002C7982"/>
    <w:rsid w:val="002D132F"/>
    <w:rsid w:val="002F2420"/>
    <w:rsid w:val="00317CFE"/>
    <w:rsid w:val="00323ED4"/>
    <w:rsid w:val="00360F84"/>
    <w:rsid w:val="00382366"/>
    <w:rsid w:val="003929DB"/>
    <w:rsid w:val="00393F73"/>
    <w:rsid w:val="003A374F"/>
    <w:rsid w:val="003B5FFC"/>
    <w:rsid w:val="003B601C"/>
    <w:rsid w:val="003D3340"/>
    <w:rsid w:val="003D6616"/>
    <w:rsid w:val="003E5E5E"/>
    <w:rsid w:val="004221E9"/>
    <w:rsid w:val="004224B5"/>
    <w:rsid w:val="00425854"/>
    <w:rsid w:val="00425FAA"/>
    <w:rsid w:val="00431BF7"/>
    <w:rsid w:val="00434767"/>
    <w:rsid w:val="00444D79"/>
    <w:rsid w:val="00467159"/>
    <w:rsid w:val="00575209"/>
    <w:rsid w:val="00580E27"/>
    <w:rsid w:val="005A04CC"/>
    <w:rsid w:val="005C6DCF"/>
    <w:rsid w:val="005E7489"/>
    <w:rsid w:val="00600B23"/>
    <w:rsid w:val="0061558B"/>
    <w:rsid w:val="00653E9F"/>
    <w:rsid w:val="00662A9D"/>
    <w:rsid w:val="0068084F"/>
    <w:rsid w:val="0068350D"/>
    <w:rsid w:val="00687DAD"/>
    <w:rsid w:val="006A4882"/>
    <w:rsid w:val="006A7B36"/>
    <w:rsid w:val="006F39F8"/>
    <w:rsid w:val="006F44CC"/>
    <w:rsid w:val="006F4EFF"/>
    <w:rsid w:val="00700EA4"/>
    <w:rsid w:val="00741DA3"/>
    <w:rsid w:val="00755C7B"/>
    <w:rsid w:val="007805EB"/>
    <w:rsid w:val="007806C1"/>
    <w:rsid w:val="00781DE1"/>
    <w:rsid w:val="00793DA4"/>
    <w:rsid w:val="00794A61"/>
    <w:rsid w:val="007A31B0"/>
    <w:rsid w:val="007B3DF9"/>
    <w:rsid w:val="007E3D0B"/>
    <w:rsid w:val="00810AED"/>
    <w:rsid w:val="008146C3"/>
    <w:rsid w:val="00837EE3"/>
    <w:rsid w:val="008620BC"/>
    <w:rsid w:val="0087358C"/>
    <w:rsid w:val="0088158A"/>
    <w:rsid w:val="00882BCF"/>
    <w:rsid w:val="008B01B8"/>
    <w:rsid w:val="008B538A"/>
    <w:rsid w:val="00902047"/>
    <w:rsid w:val="00941B10"/>
    <w:rsid w:val="00961681"/>
    <w:rsid w:val="0096770E"/>
    <w:rsid w:val="009B7B1F"/>
    <w:rsid w:val="009C1339"/>
    <w:rsid w:val="009E34EC"/>
    <w:rsid w:val="009F1015"/>
    <w:rsid w:val="009F4968"/>
    <w:rsid w:val="00A00E52"/>
    <w:rsid w:val="00A12672"/>
    <w:rsid w:val="00A15801"/>
    <w:rsid w:val="00A423C2"/>
    <w:rsid w:val="00A5549A"/>
    <w:rsid w:val="00A576B1"/>
    <w:rsid w:val="00A700BD"/>
    <w:rsid w:val="00A81AA4"/>
    <w:rsid w:val="00AB60E8"/>
    <w:rsid w:val="00AB6633"/>
    <w:rsid w:val="00AC494C"/>
    <w:rsid w:val="00AE39DF"/>
    <w:rsid w:val="00B34C42"/>
    <w:rsid w:val="00B34F64"/>
    <w:rsid w:val="00B47371"/>
    <w:rsid w:val="00B56D6C"/>
    <w:rsid w:val="00B770AD"/>
    <w:rsid w:val="00B83547"/>
    <w:rsid w:val="00B94923"/>
    <w:rsid w:val="00BB26D2"/>
    <w:rsid w:val="00C36362"/>
    <w:rsid w:val="00C502D1"/>
    <w:rsid w:val="00C67479"/>
    <w:rsid w:val="00C85325"/>
    <w:rsid w:val="00C9336A"/>
    <w:rsid w:val="00CC7FC2"/>
    <w:rsid w:val="00CD762C"/>
    <w:rsid w:val="00CD7747"/>
    <w:rsid w:val="00CF5B0D"/>
    <w:rsid w:val="00D079BA"/>
    <w:rsid w:val="00D176CA"/>
    <w:rsid w:val="00D51A95"/>
    <w:rsid w:val="00D91B37"/>
    <w:rsid w:val="00DA299D"/>
    <w:rsid w:val="00DC1136"/>
    <w:rsid w:val="00DD605A"/>
    <w:rsid w:val="00E00FF5"/>
    <w:rsid w:val="00E560A1"/>
    <w:rsid w:val="00E96529"/>
    <w:rsid w:val="00EA1694"/>
    <w:rsid w:val="00EA30D5"/>
    <w:rsid w:val="00EA5853"/>
    <w:rsid w:val="00EB3F44"/>
    <w:rsid w:val="00EB6E55"/>
    <w:rsid w:val="00EE134B"/>
    <w:rsid w:val="00F01060"/>
    <w:rsid w:val="00F259A6"/>
    <w:rsid w:val="00F30F4A"/>
    <w:rsid w:val="00F422B1"/>
    <w:rsid w:val="00F44104"/>
    <w:rsid w:val="00F65548"/>
    <w:rsid w:val="00F713C4"/>
    <w:rsid w:val="00FB1BEC"/>
    <w:rsid w:val="00FD7251"/>
    <w:rsid w:val="00FE7F22"/>
    <w:rsid w:val="49F907EF"/>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locked/>
    <w:uiPriority w:val="99"/>
    <w:rPr>
      <w:rFonts w:ascii="Times New Roman" w:hAnsi="Times New Roman" w:eastAsia="宋体" w:cs="Times New Roman"/>
      <w:sz w:val="18"/>
      <w:szCs w:val="18"/>
    </w:rPr>
  </w:style>
  <w:style w:type="character" w:customStyle="1" w:styleId="7">
    <w:name w:val="页脚 Char"/>
    <w:basedOn w:val="4"/>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DCBB3F-4F8E-4793-AB21-DD77EC897C8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710</Words>
  <Characters>4048</Characters>
  <Lines>33</Lines>
  <Paragraphs>9</Paragraphs>
  <TotalTime>0</TotalTime>
  <ScaleCrop>false</ScaleCrop>
  <LinksUpToDate>false</LinksUpToDate>
  <CharactersWithSpaces>4749</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Administrator</cp:lastModifiedBy>
  <cp:lastPrinted>2016-02-06T07:02:00Z</cp:lastPrinted>
  <dcterms:modified xsi:type="dcterms:W3CDTF">2025-01-02T09:16:04Z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