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仿宋_GB2312" w:eastAsia="仿宋_GB2312"/>
          <w:sz w:val="32"/>
          <w:szCs w:val="32"/>
        </w:rPr>
      </w:pPr>
    </w:p>
    <w:p>
      <w:pPr>
        <w:widowControl/>
        <w:spacing w:line="330" w:lineRule="atLeast"/>
        <w:jc w:val="center"/>
        <w:rPr>
          <w:rFonts w:ascii="仿宋" w:hAnsi="仿宋" w:eastAsia="仿宋"/>
          <w:b/>
          <w:bCs/>
          <w:color w:val="000000"/>
          <w:sz w:val="36"/>
          <w:szCs w:val="36"/>
        </w:rPr>
      </w:pPr>
      <w:r>
        <w:rPr>
          <w:rFonts w:hint="eastAsia" w:ascii="仿宋" w:hAnsi="仿宋" w:eastAsia="仿宋" w:cs="仿宋"/>
          <w:b/>
          <w:bCs/>
          <w:sz w:val="36"/>
          <w:szCs w:val="36"/>
        </w:rPr>
        <w:t>高新区软件发展研究院</w:t>
      </w:r>
      <w:r>
        <w:rPr>
          <w:rFonts w:ascii="仿宋" w:hAnsi="仿宋" w:eastAsia="仿宋" w:cs="仿宋"/>
          <w:b/>
          <w:bCs/>
          <w:color w:val="000000"/>
          <w:kern w:val="0"/>
          <w:sz w:val="36"/>
          <w:szCs w:val="36"/>
        </w:rPr>
        <w:t>20</w:t>
      </w:r>
      <w:r>
        <w:rPr>
          <w:rFonts w:hint="eastAsia" w:ascii="仿宋" w:hAnsi="仿宋" w:eastAsia="仿宋" w:cs="仿宋"/>
          <w:b/>
          <w:bCs/>
          <w:color w:val="000000"/>
          <w:kern w:val="0"/>
          <w:sz w:val="36"/>
          <w:szCs w:val="36"/>
        </w:rPr>
        <w:t>20年部门预算</w:t>
      </w:r>
    </w:p>
    <w:p>
      <w:pPr>
        <w:widowControl/>
        <w:spacing w:line="330" w:lineRule="atLeast"/>
        <w:ind w:firstLine="600" w:firstLineChars="200"/>
        <w:jc w:val="left"/>
        <w:rPr>
          <w:rFonts w:ascii="Verdana" w:hAnsi="Verdana" w:eastAsia="仿宋"/>
          <w:color w:val="000000"/>
          <w:kern w:val="0"/>
          <w:sz w:val="30"/>
          <w:szCs w:val="30"/>
        </w:rPr>
      </w:pP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第一部分部门概况</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承担国内外软件和服务外包的现状分析及跟踪研究；承担国内外重点城市的竞争力比较研究；承担软件和服务外包的发展趋势、发展目标、发展战略及相关规划研究；开展政策、体制机制、人才培养等专项课题研究；开展自主产权软件产品的市场化、产业化等研究，为提升我市软件和服务外包能力水平，提高国际市场占有率和国际竞争力提供理论支持。</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w:t>
      </w:r>
      <w:r>
        <w:rPr>
          <w:rFonts w:hint="eastAsia" w:ascii="仿宋" w:hAnsi="仿宋" w:eastAsia="仿宋" w:cs="仿宋"/>
          <w:bCs/>
          <w:sz w:val="30"/>
          <w:szCs w:val="30"/>
        </w:rPr>
        <w:t>软件发展研究院</w:t>
      </w:r>
      <w:r>
        <w:rPr>
          <w:rFonts w:hint="eastAsia" w:ascii="仿宋" w:hAnsi="仿宋" w:eastAsia="仿宋" w:cs="仿宋"/>
          <w:color w:val="000000"/>
          <w:kern w:val="0"/>
          <w:sz w:val="30"/>
          <w:szCs w:val="30"/>
        </w:rPr>
        <w:t>部门预算为本部综合收支计划，无二级单位。</w:t>
      </w:r>
    </w:p>
    <w:p>
      <w:pPr>
        <w:widowControl/>
        <w:spacing w:line="330" w:lineRule="atLeast"/>
        <w:ind w:firstLine="600" w:firstLineChars="200"/>
        <w:jc w:val="left"/>
        <w:rPr>
          <w:rFonts w:ascii="仿宋" w:hAnsi="仿宋" w:eastAsia="仿宋" w:cs="仿宋"/>
          <w:color w:val="000000"/>
          <w:kern w:val="0"/>
          <w:sz w:val="30"/>
          <w:szCs w:val="30"/>
        </w:rPr>
      </w:pP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第二部分部门预算情况说明</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按照综合预算的原则，本部门所有收入和支出均纳入部门预算管理，无下级预算单位。收入包括：财政拨款收入483.2万元；支出包括：</w:t>
      </w:r>
      <w:r>
        <w:rPr>
          <w:rFonts w:hint="eastAsia" w:ascii="仿宋" w:hAnsi="仿宋" w:eastAsia="仿宋" w:cs="仿宋"/>
          <w:sz w:val="30"/>
          <w:szCs w:val="30"/>
        </w:rPr>
        <w:t>工资福利和对个人家庭补助支出205.9万元，商品和服务支出277.3万元。</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年预算数增加23.3万元，其中财政拨款收入比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年预算数增加23.3万元；支出比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年预算数增加23.3万元，其中</w:t>
      </w:r>
      <w:r>
        <w:rPr>
          <w:rFonts w:hint="eastAsia" w:ascii="仿宋" w:hAnsi="仿宋" w:eastAsia="仿宋" w:cs="仿宋"/>
          <w:sz w:val="30"/>
          <w:szCs w:val="30"/>
        </w:rPr>
        <w:t>工资福利和对个人家庭补助支出减少18.8万元，商品和服务支出增加42.1万元。</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w:t>
      </w:r>
      <w:r>
        <w:rPr>
          <w:rFonts w:hint="eastAsia" w:ascii="仿宋" w:hAnsi="仿宋" w:eastAsia="仿宋" w:cs="仿宋"/>
          <w:color w:val="000000"/>
          <w:kern w:val="0"/>
          <w:sz w:val="30"/>
          <w:szCs w:val="30"/>
        </w:rPr>
        <w:t>，与去年相同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主要是按照中央及市委、市政府关于厉行节约、改进工作作风、密切联系群众“八项规定”等有关要求，严格控制“三公”经费支出。</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万元。</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2020年本部门政府采购项目1个，为“‘七贤荟’品牌运行维护项目”，采购预算为195.6万元。</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国有资产占有使用情况说明为：截至2019年12月31日，部门（单位）共有车辆0辆；单位价值50万元（含）以上通用设备0台（套）；单位价值100万元以上专用设备0台（套）。</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pPr>
        <w:ind w:firstLine="600" w:firstLineChars="200"/>
        <w:rPr>
          <w:rFonts w:ascii="仿宋" w:hAnsi="仿宋" w:eastAsia="仿宋" w:cs="仿宋"/>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20年，按照“先有绩效，后有预算”原则，本部门共计编制绩效目标3个，预算金额229</w:t>
      </w:r>
      <w:r>
        <w:rPr>
          <w:rFonts w:ascii="仿宋" w:hAnsi="仿宋" w:eastAsia="仿宋" w:cs="Verdana"/>
          <w:color w:val="000000"/>
          <w:kern w:val="0"/>
          <w:sz w:val="30"/>
          <w:szCs w:val="30"/>
        </w:rPr>
        <w:t>.3</w:t>
      </w:r>
      <w:r>
        <w:rPr>
          <w:rFonts w:hint="eastAsia" w:ascii="仿宋" w:hAnsi="仿宋" w:eastAsia="仿宋" w:cs="Verdana"/>
          <w:color w:val="000000"/>
          <w:kern w:val="0"/>
          <w:sz w:val="30"/>
          <w:szCs w:val="30"/>
        </w:rPr>
        <w:t>万元，占项目支出预算比重</w:t>
      </w:r>
      <w:r>
        <w:rPr>
          <w:rFonts w:ascii="仿宋" w:hAnsi="仿宋" w:eastAsia="仿宋" w:cs="Verdana"/>
          <w:color w:val="000000"/>
          <w:kern w:val="0"/>
          <w:sz w:val="30"/>
          <w:szCs w:val="30"/>
        </w:rPr>
        <w:t>100%</w:t>
      </w:r>
      <w:r>
        <w:rPr>
          <w:rFonts w:hint="eastAsia" w:ascii="仿宋" w:hAnsi="仿宋" w:eastAsia="仿宋" w:cs="Verdana"/>
          <w:color w:val="000000"/>
          <w:kern w:val="0"/>
          <w:sz w:val="30"/>
          <w:szCs w:val="30"/>
        </w:rPr>
        <w:t>。</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八</w:t>
      </w:r>
      <w:r>
        <w:rPr>
          <w:rFonts w:hint="eastAsia" w:ascii="宋体" w:hAnsi="宋体" w:cs="仿宋"/>
          <w:color w:val="000000"/>
          <w:kern w:val="0"/>
          <w:sz w:val="30"/>
          <w:szCs w:val="30"/>
        </w:rPr>
        <w:t>、</w:t>
      </w:r>
      <w:r>
        <w:rPr>
          <w:rFonts w:hint="eastAsia" w:ascii="仿宋" w:hAnsi="仿宋" w:eastAsia="仿宋" w:cs="仿宋"/>
          <w:color w:val="000000"/>
          <w:kern w:val="0"/>
          <w:sz w:val="30"/>
          <w:szCs w:val="30"/>
        </w:rPr>
        <w:t>七贤荟品牌运行经费项目情况</w:t>
      </w:r>
    </w:p>
    <w:p>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七贤荟是以文化现象推动思想解放、以科技创新引领经济腾飞，最终服务于高新区产业升级和可持续发展，引领大连经济和社会发展的创新文化与思想交流的平台。</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2017年根据管委会领导设想及要求，由产业发展研究院负责，开始设立。几年来，通过举办各类创新活动、思想交流、新芒发布等活动在吸纳社会各界资源,营造创业氛围,传播创新文化,联通政企服务创业者,为构建高新区文化与经济、创新与产业、创业与金融、人才与环境融合发展新局面而努力,成为高新区创新思想与文化重要支撑平台。</w:t>
      </w:r>
    </w:p>
    <w:p>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大连高新技术产业发展研究院。</w:t>
      </w:r>
    </w:p>
    <w:p>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A.整体思路</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采取市场化运营机制，培育精品活动品牌，结合大连市最新发展战略，以不同活动形式满足不同要素需求，全年活动分布有序，高低错落，全方位营造“七贤”（招贤、聚贤、纳贤、栖贤、育贤、推贤、成贤）文化，吹响“五创”（创新、创业、创投、创意、创造）号角，覆盖七贤荟功能，搭建国际化的创新文化与思想交流平台。</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有机整合大连市委市政府、各创业相关委办局、协会、众创空间孵化器等全市资源，各项工作前后衔接，打造系列亚品牌，强化品牌认知。采取市场化运营机制，结合大连市最新发展战略，以不同活动形式满足不同要素需求。</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强化媒体传播中心职能。建立固定化媒体合作关系，合作全国各类相关媒体，确保传播广度；纳入市委市政府、各创业口委办局及相关领导等关键宣传点，确保传播针对性；策划媒体活动，灵活运用视频、软文、杂志、专栏等形式，提高内容深度，确保传播内容丰富性。</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B.七贤荟秘书处运营</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（一）秘书处“统筹管理中心”</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统筹管理中心是七贤荟秘书处的大脑中枢系统，相当于秘书处的司令部。它既是各路资源整合和分配的调度中心，同时也是公正严谨的监管中心。对外要广结良缘、结交天下，吸纳优质资源；对内要公平公正、量体裁衣合理调配资源。</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工作原则：开疆拓土吸纳资源、周到细致服务荟员、公正公平调配资源、科学合理的整合资源。</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（二）秘书处“媒介宣传中心”</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媒介宣传中心是七贤荟品牌形象塑造和传播的源头，相当于秘书处的外交部，他将七贤荟的精髓和灵魂完美包装、一览无余地呈现与外界，树立和维护七贤荟品牌形象，为大连发声，为滨城代言。</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工作原则：明确目标，主线清晰，统筹设计，吸纳资源，全面传播；充分调用每个有力的媒介点共同发声，同频共振，从而获得政府认可，被业界认知。</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（三）秘书处“活动运营中心”</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活动运营中心是七贤荟整体工作顺利开展的助推器，它是整个七贤荟对外品牌形象的核心载体。通过组织各种大大小小、多种形式的文化品牌活动，不断地积淀七贤荟内容基础、汇聚人脉资源，树立品牌形象，为七贤荟平台吸纳更多的优质资源奠基。</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工作原则：明确目标，统筹设计，吸纳资源，百花齐放；抓大放小、主抓精品，分布有序，形式多样，内容覆盖七贤荟功能。</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C.七贤荟品牌活动运营思路</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全年活动继续升级，以系列亚品牌为核心，充分发挥民间组织的协同、辅助作用，搭建企业与政府沟通的桥梁，进一步夯实品牌基础、打造品牌渠道、凝聚品牌价值、展现品牌力量，为高新区的腾飞加油助力。</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（一）新芒·创新产品与技术发布会</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新芒</w:t>
      </w:r>
      <w:r>
        <w:rPr>
          <w:rFonts w:hint="eastAsia" w:ascii="宋体" w:hAnsi="宋体" w:cs="宋体"/>
          <w:color w:val="000000"/>
          <w:kern w:val="0"/>
          <w:sz w:val="30"/>
          <w:szCs w:val="30"/>
        </w:rPr>
        <w:t>•</w:t>
      </w:r>
      <w:r>
        <w:rPr>
          <w:rFonts w:hint="eastAsia" w:ascii="仿宋" w:hAnsi="仿宋" w:eastAsia="仿宋" w:cs="仿宋"/>
          <w:color w:val="000000"/>
          <w:kern w:val="0"/>
          <w:sz w:val="30"/>
          <w:szCs w:val="30"/>
        </w:rPr>
        <w:t xml:space="preserve">创新产品与技术发布会作为七贤荟重磅打造的亮点品牌活动，通过广泛的企业征集、项目探寻、人物寻找，以发布会、融媒体传播等形式聚拢全国媒体，聚焦大连高新区创新创新企业，关注创新成果、关爱创新人才，致力于为创新人物和创新产品搭建高品质展示平台，传播大连创新声音。 </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活动周期：每季度1期，一年4期。</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发布形式：声光电结合，视频+激情演讲，全媒关注。</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“创新产品与技术”征集范围：获得国家级立项的创新产品与项目，填补国际国内空白的技术，对原有技术有重大突破的新技术，已获得风险投资的项目，获得市级以上创新大赛奖项的产品等。</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亚品牌二：贤言荟语沙龙</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七贤荟贤言荟语闭门沙龙，是七贤荟紧密围绕运营目标打造的思想交流、建言献策的平台，活动邀请政府官员、经济学家、技术专家、企业家和高管、学者、新</w:t>
      </w:r>
      <w:r>
        <w:rPr>
          <w:rFonts w:hint="eastAsia" w:ascii="仿宋" w:hAnsi="仿宋" w:eastAsia="仿宋" w:cs="仿宋"/>
          <w:color w:val="000000"/>
          <w:kern w:val="0"/>
          <w:sz w:val="30"/>
          <w:szCs w:val="30"/>
          <w:lang w:eastAsia="zh-CN"/>
        </w:rPr>
        <w:t>的</w:t>
      </w:r>
      <w:bookmarkStart w:id="0" w:name="_GoBack"/>
      <w:bookmarkEnd w:id="0"/>
      <w:r>
        <w:rPr>
          <w:rFonts w:hint="eastAsia" w:ascii="仿宋" w:hAnsi="仿宋" w:eastAsia="仿宋" w:cs="仿宋"/>
          <w:color w:val="000000"/>
          <w:kern w:val="0"/>
          <w:sz w:val="30"/>
          <w:szCs w:val="30"/>
        </w:rPr>
        <w:t>社会阶层人士参与，关注时下最热的创新话题，关注大连高新区五大产业发展，以主题分享+头脑风暴方式，深度探讨着眼时下最热经济话题、产业发展、前沿动态，思想碰撞，观点交锋，用创新思想打开企业视野，促进大连企业内外融通，共同成长，赋能大连。</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活动周期：每月1期，一年12期。</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活动形式：闭门沙龙，主题分享+头脑风暴。</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亚品牌三：七贤荟商学院</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七贤荟商学院是七贤荟重磅打造的学习平台，带领大连优秀企业管理者走出大连，到先进城市、领军企业学习先进经验和管理方法，杭州研学融资之旅、华为管理培训班、深圳研学融资行获得了大连企业家的一致好评。七贤荟计划进一步打造商学院品牌，融汇更多先进企业管理经验，助力大连企业走的更高更远。</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1、研学行</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带领企业走到先进城市的优秀创业企业、独角兽企业以及巨头企业中去，学习优秀的创业思想、管理观念和商业机会。</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活动周期：一年2期。</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活动形式：走出去，研学+交流。</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2、商务对接行</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对接先进城市的优秀创业企业、独角兽企业以及上下游企业，借互联网大会、云栖大会、高交会等契机，深度对接合作，拓宽大连企业的事业和市场手臂。</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活动周期：一年2期。</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活动形式：走出去，研学+交流。</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亚品牌四：七贤荟技术论坛</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打造技术论坛亚品牌，关注5G、区块链等前沿技术，结合大连高新区重点产业，邀请华为、阿里、亚马逊、微软等代表技术前沿趋势的巨头公司用技术赋能大连企业，讲解趋势、打开应用思路，加强大连企业与国内主流科技圈层的深度融合，赋能大连企业创新发展。</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活动周期：一年4期。</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活动形式：主题分享+技术研讨。</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D.七贤荟品牌传播载体打造工作思路</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结合大连高新区产业特色及七贤荟平台担负的职责，有计划、有目标地策划实施打造系列品牌文化载体，纵横交错，同频共振，360度立体塑造七贤荟品牌形象，将七贤荟的文化精髓和品牌灵魂完美包装、全方位地呈现与外界，树立和维护七贤荟品牌形象，为大连的人文产业环境发声，为大连的城市建设发展代言。</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贤言荟语早报</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贤言荟语”早报是七贤荟打造的传播创新文化与信息资讯的载体。每天为政府、企业、创业者提供新鲜及时、与创新相关的信息资讯，并为大连优秀科技创新企业提供展示平台，发布领先技术和成就，扩大企业知名度，增强企业曝光度及荣誉感，致力于成为滨城创新的传播平台。</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七贤荟政策解读</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通过政策解读手册、宣传图片、H5、MG小视频等多种形式解读大连市及高新区政策，打造一站式政策查询平台，将政府职能与企业需求紧密结合。</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“七贤”人物志</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有目的性的塑造优秀高新人物，有传播性的人物及专家智库观点报道，包括企业家、科学家、发明家、金融家、艺术家、思想家、教育家七大人群代表专访。</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七贤荟杂志</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七贤荟》杂志是七贤荟品牌输出的重要载体，综合高新区整体环境，七贤荟论坛、沙龙、商学院活动，嘉宾、七贤智库观点、企业介绍等内容，以弘扬七贤精神、弘扬创业文化、促动改革发展为使命，是大连创新思想的汇聚地、大连创新力量的舞台。</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七贤荟视频</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制作七贤荟年度总结视频、七贤荟年度宣传片等，通过采集原创素材、精心制作，形成了独具七贤荟风格的视频，通过移动公交、七贤荟微信号、七贤荟头条号进行传播和推广。</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七贤荟融媒体</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1.七贤荟网站运维</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根据网站清晰架构，分门别类上传七贤荟的品牌宣传、活动报道、新闻动态、七贤智库、高新区“2+3”产业方向等原创图文稿件，每周更新3-4篇，保证网站内容的时效性和活跃性。</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配备专业seo人员，根据七贤荟特性，定制SEO策略，优化关键字、网站架构及排名等，保持网站曝光度。</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升级七贤荟网站，打造大连高新区企业资源库，优化荟员管理方式，将七贤荟打造成一个开放的商务对接服务平台。</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2.七贤荟微信公众号运维：</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a.撰写高质量的原创文字，拍摄制作精美原创图片，精心编辑排版，形成具有七贤荟风格的图文稿件。</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b.强化七贤荟品牌战略，报道传播七贤荟各种活动、深度剖析活动意义产业发展</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c.专访七贤智库专家学者凝练新锐观点，做精做细做透每一篇报道。</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d.优化服务号菜单，强调服务属性，文章以专业、深度为特点，符合高新区产业特色，传播又高又新形象。</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3.七贤荟头条号运维</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a.剖析头条号运维属性，更注重传播性和及时性。</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b.在稿件选择方面，一部分选择七贤荟品牌、活动、产业、七贤智库等原创稿件，夯实品牌影响力；一部分选择时下具有较高关注度的热点事件、热点人物、热点政策等进行编辑撰写，提高七贤荟头条号的推荐率、转载率、评论数，实现增粉、固粉的目的。</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c.每周更新原创文章3-4篇，力求推荐，保证头条号的活跃度和曝光度。</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2020年6月至2021年12月。</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pPr>
        <w:ind w:left="640"/>
        <w:rPr>
          <w:rFonts w:ascii="仿宋" w:hAnsi="仿宋" w:eastAsia="仿宋" w:cs="仿宋"/>
          <w:color w:val="000000"/>
          <w:kern w:val="0"/>
          <w:sz w:val="30"/>
          <w:szCs w:val="30"/>
        </w:rPr>
      </w:pPr>
      <w:r>
        <w:rPr>
          <w:rFonts w:hint="eastAsia" w:ascii="仿宋" w:hAnsi="仿宋" w:eastAsia="仿宋" w:cs="仿宋"/>
          <w:color w:val="000000"/>
          <w:kern w:val="0"/>
          <w:sz w:val="30"/>
          <w:szCs w:val="30"/>
        </w:rPr>
        <w:t>2020年拟安排该项目一般公共预算195.6万元，其中：</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（1）七贤荟品牌活动运营项目129.55万元，主要用于新芒</w:t>
      </w:r>
      <w:r>
        <w:rPr>
          <w:rFonts w:hint="eastAsia" w:ascii="宋体" w:hAnsi="宋体" w:cs="宋体"/>
          <w:color w:val="000000"/>
          <w:kern w:val="0"/>
          <w:sz w:val="30"/>
          <w:szCs w:val="30"/>
        </w:rPr>
        <w:t>•</w:t>
      </w:r>
      <w:r>
        <w:rPr>
          <w:rFonts w:hint="eastAsia" w:ascii="仿宋" w:hAnsi="仿宋" w:eastAsia="仿宋" w:cs="仿宋"/>
          <w:color w:val="000000"/>
          <w:kern w:val="0"/>
          <w:sz w:val="30"/>
          <w:szCs w:val="30"/>
        </w:rPr>
        <w:t>创新产品与技术发布会、贤言荟语沙龙、七贤荟商学院等；</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（2）七贤荟品牌传播载体打造项目66.05万元，主要用于贤言荟语早报、“七贤”人物志、七贤荟视频及融媒体等；</w:t>
      </w:r>
    </w:p>
    <w:p>
      <w:pPr>
        <w:widowControl/>
        <w:spacing w:line="330" w:lineRule="atLeast"/>
        <w:ind w:firstLine="600" w:firstLineChars="200"/>
        <w:jc w:val="left"/>
        <w:rPr>
          <w:rFonts w:ascii="仿宋" w:hAnsi="仿宋" w:eastAsia="仿宋" w:cs="仿宋"/>
          <w:color w:val="000000"/>
          <w:kern w:val="0"/>
          <w:sz w:val="30"/>
          <w:szCs w:val="30"/>
        </w:rPr>
      </w:pP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第三部分名词解释</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pPr>
        <w:widowControl/>
        <w:spacing w:line="330" w:lineRule="atLeast"/>
        <w:ind w:firstLine="600" w:firstLineChars="200"/>
        <w:jc w:val="left"/>
        <w:rPr>
          <w:rFonts w:ascii="仿宋" w:hAnsi="仿宋" w:eastAsia="仿宋" w:cs="仿宋"/>
          <w:color w:val="000000"/>
          <w:kern w:val="0"/>
          <w:sz w:val="30"/>
          <w:szCs w:val="30"/>
        </w:rPr>
      </w:pPr>
    </w:p>
    <w:p>
      <w:pPr>
        <w:spacing w:line="600" w:lineRule="exact"/>
        <w:rPr>
          <w:rFonts w:ascii="仿宋" w:hAnsi="仿宋" w:eastAsia="仿宋"/>
          <w:sz w:val="30"/>
          <w:szCs w:val="30"/>
        </w:rPr>
      </w:pPr>
      <w:r>
        <w:rPr>
          <w:rFonts w:ascii="仿宋" w:hAnsi="仿宋" w:eastAsia="仿宋" w:cs="仿宋"/>
          <w:sz w:val="30"/>
          <w:szCs w:val="30"/>
        </w:rPr>
        <w:t xml:space="preserve">  </w:t>
      </w:r>
      <w:r>
        <w:rPr>
          <w:rFonts w:hint="eastAsia" w:ascii="仿宋" w:hAnsi="仿宋" w:eastAsia="仿宋" w:cs="仿宋"/>
          <w:sz w:val="30"/>
          <w:szCs w:val="30"/>
        </w:rPr>
        <w:t xml:space="preserve">                                 </w:t>
      </w:r>
      <w:r>
        <w:rPr>
          <w:rFonts w:ascii="仿宋" w:hAnsi="仿宋" w:eastAsia="仿宋" w:cs="仿宋"/>
          <w:sz w:val="30"/>
          <w:szCs w:val="30"/>
        </w:rPr>
        <w:t xml:space="preserve">  20</w:t>
      </w:r>
      <w:r>
        <w:rPr>
          <w:rFonts w:hint="eastAsia" w:ascii="仿宋" w:hAnsi="仿宋" w:eastAsia="仿宋" w:cs="仿宋"/>
          <w:sz w:val="30"/>
          <w:szCs w:val="30"/>
        </w:rPr>
        <w:t>20年6月4日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仿宋_GB2312">
    <w:altName w:val="仿宋"/>
    <w:panose1 w:val="02010609030101010101"/>
    <w:charset w:val="86"/>
    <w:family w:val="swiss"/>
    <w:pitch w:val="default"/>
    <w:sig w:usb0="00000000" w:usb1="00000000" w:usb2="00000010" w:usb3="00000000" w:csb0="00040000" w:csb1="00000000"/>
  </w:font>
  <w:font w:name="仿宋">
    <w:panose1 w:val="02010609060101010101"/>
    <w:charset w:val="86"/>
    <w:family w:val="swiss"/>
    <w:pitch w:val="default"/>
    <w:sig w:usb0="800002BF" w:usb1="38CF7CFA" w:usb2="00000016" w:usb3="00000000" w:csb0="00040001" w:csb1="00000000"/>
  </w:font>
  <w:font w:name="Verdana">
    <w:panose1 w:val="020B0604030504040204"/>
    <w:charset w:val="00"/>
    <w:family w:val="decorative"/>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01060"/>
    <w:rsid w:val="00021916"/>
    <w:rsid w:val="000276C4"/>
    <w:rsid w:val="00046BF6"/>
    <w:rsid w:val="00064E5A"/>
    <w:rsid w:val="00094BB5"/>
    <w:rsid w:val="00101DBD"/>
    <w:rsid w:val="00113D7D"/>
    <w:rsid w:val="001204FF"/>
    <w:rsid w:val="00127A9C"/>
    <w:rsid w:val="0018276F"/>
    <w:rsid w:val="00183473"/>
    <w:rsid w:val="001961A4"/>
    <w:rsid w:val="001A3965"/>
    <w:rsid w:val="001C35EC"/>
    <w:rsid w:val="001E3E93"/>
    <w:rsid w:val="001F5554"/>
    <w:rsid w:val="00210772"/>
    <w:rsid w:val="00211F26"/>
    <w:rsid w:val="00221D13"/>
    <w:rsid w:val="00264775"/>
    <w:rsid w:val="00274875"/>
    <w:rsid w:val="00277625"/>
    <w:rsid w:val="00296AAB"/>
    <w:rsid w:val="00296AF1"/>
    <w:rsid w:val="002A2699"/>
    <w:rsid w:val="002C554E"/>
    <w:rsid w:val="002F344A"/>
    <w:rsid w:val="00312E87"/>
    <w:rsid w:val="00321945"/>
    <w:rsid w:val="003244BE"/>
    <w:rsid w:val="00324B65"/>
    <w:rsid w:val="00343AC7"/>
    <w:rsid w:val="00353C14"/>
    <w:rsid w:val="003B33B9"/>
    <w:rsid w:val="00413762"/>
    <w:rsid w:val="0041540B"/>
    <w:rsid w:val="004723AC"/>
    <w:rsid w:val="004B5DBF"/>
    <w:rsid w:val="004C68CF"/>
    <w:rsid w:val="004E2426"/>
    <w:rsid w:val="004E4C97"/>
    <w:rsid w:val="00505E18"/>
    <w:rsid w:val="005063A0"/>
    <w:rsid w:val="00515340"/>
    <w:rsid w:val="005251BF"/>
    <w:rsid w:val="00543B04"/>
    <w:rsid w:val="00564DB0"/>
    <w:rsid w:val="0057601B"/>
    <w:rsid w:val="00594739"/>
    <w:rsid w:val="005A04CC"/>
    <w:rsid w:val="005C04D5"/>
    <w:rsid w:val="005C5D6A"/>
    <w:rsid w:val="0060056F"/>
    <w:rsid w:val="006024DB"/>
    <w:rsid w:val="0060726A"/>
    <w:rsid w:val="00615A77"/>
    <w:rsid w:val="006217E3"/>
    <w:rsid w:val="00623C2F"/>
    <w:rsid w:val="00632C20"/>
    <w:rsid w:val="00633D19"/>
    <w:rsid w:val="0066360E"/>
    <w:rsid w:val="00695F97"/>
    <w:rsid w:val="006B1D91"/>
    <w:rsid w:val="007270F7"/>
    <w:rsid w:val="00755C7B"/>
    <w:rsid w:val="007805EB"/>
    <w:rsid w:val="007811B7"/>
    <w:rsid w:val="007838A2"/>
    <w:rsid w:val="007C2CDE"/>
    <w:rsid w:val="007D16A5"/>
    <w:rsid w:val="007E63E3"/>
    <w:rsid w:val="007E7133"/>
    <w:rsid w:val="0083757D"/>
    <w:rsid w:val="00861C4A"/>
    <w:rsid w:val="008620BC"/>
    <w:rsid w:val="0087107B"/>
    <w:rsid w:val="00882BD3"/>
    <w:rsid w:val="00891217"/>
    <w:rsid w:val="008B5063"/>
    <w:rsid w:val="008C07B0"/>
    <w:rsid w:val="008F2352"/>
    <w:rsid w:val="0090261F"/>
    <w:rsid w:val="00937B69"/>
    <w:rsid w:val="00961681"/>
    <w:rsid w:val="009D0C04"/>
    <w:rsid w:val="009F04FF"/>
    <w:rsid w:val="009F1015"/>
    <w:rsid w:val="00A12672"/>
    <w:rsid w:val="00A13881"/>
    <w:rsid w:val="00A33DF5"/>
    <w:rsid w:val="00A3782F"/>
    <w:rsid w:val="00A470C1"/>
    <w:rsid w:val="00A920CD"/>
    <w:rsid w:val="00A9589C"/>
    <w:rsid w:val="00A96C7E"/>
    <w:rsid w:val="00AA4E12"/>
    <w:rsid w:val="00AC10DC"/>
    <w:rsid w:val="00AC5482"/>
    <w:rsid w:val="00AF4282"/>
    <w:rsid w:val="00AF7CAA"/>
    <w:rsid w:val="00B251A5"/>
    <w:rsid w:val="00B414EF"/>
    <w:rsid w:val="00B94226"/>
    <w:rsid w:val="00BF6F0F"/>
    <w:rsid w:val="00C1718B"/>
    <w:rsid w:val="00C51F1F"/>
    <w:rsid w:val="00C638B7"/>
    <w:rsid w:val="00C83D2E"/>
    <w:rsid w:val="00C97B85"/>
    <w:rsid w:val="00CD2115"/>
    <w:rsid w:val="00CD5AA5"/>
    <w:rsid w:val="00CE2D6D"/>
    <w:rsid w:val="00D0679A"/>
    <w:rsid w:val="00D2768E"/>
    <w:rsid w:val="00D45A68"/>
    <w:rsid w:val="00D537CC"/>
    <w:rsid w:val="00D8546C"/>
    <w:rsid w:val="00D97C8B"/>
    <w:rsid w:val="00DC1136"/>
    <w:rsid w:val="00DD605A"/>
    <w:rsid w:val="00DE5FFB"/>
    <w:rsid w:val="00DF4CB7"/>
    <w:rsid w:val="00E51CA7"/>
    <w:rsid w:val="00E86FEC"/>
    <w:rsid w:val="00EA5176"/>
    <w:rsid w:val="00EA6819"/>
    <w:rsid w:val="00EB5787"/>
    <w:rsid w:val="00EB6E55"/>
    <w:rsid w:val="00EE0481"/>
    <w:rsid w:val="00EE134B"/>
    <w:rsid w:val="00EE3E48"/>
    <w:rsid w:val="00EE69C4"/>
    <w:rsid w:val="00F01060"/>
    <w:rsid w:val="00F52A61"/>
    <w:rsid w:val="00F627AD"/>
    <w:rsid w:val="00F82A52"/>
    <w:rsid w:val="00F85383"/>
    <w:rsid w:val="00FD7251"/>
    <w:rsid w:val="00FE3F9E"/>
    <w:rsid w:val="00FF1C07"/>
    <w:rsid w:val="59B8595F"/>
  </w:rsid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semiHidden/>
    <w:qFormat/>
    <w:locked/>
    <w:uiPriority w:val="99"/>
    <w:rPr>
      <w:rFonts w:ascii="Times New Roman" w:hAnsi="Times New Roman" w:eastAsia="宋体" w:cs="Times New Roman"/>
      <w:sz w:val="18"/>
      <w:szCs w:val="18"/>
    </w:rPr>
  </w:style>
  <w:style w:type="character" w:customStyle="1" w:styleId="7">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887</Words>
  <Characters>5056</Characters>
  <Lines>42</Lines>
  <Paragraphs>11</Paragraphs>
  <TotalTime>0</TotalTime>
  <ScaleCrop>false</ScaleCrop>
  <LinksUpToDate>false</LinksUpToDate>
  <CharactersWithSpaces>5932</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Administrator</cp:lastModifiedBy>
  <cp:lastPrinted>2016-02-06T07:02:00Z</cp:lastPrinted>
  <dcterms:modified xsi:type="dcterms:W3CDTF">2025-01-06T03:19:40Z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