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高新区教育文体局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文化、教育、体育、卫生、计划生育、爱国卫生、食品安全等工作方针政策、法律、法规及规章，研究拟定全区文教卫生、人口和计划生育等社会事业中长期发展规划、年度计划及相关的地方性行政管理规定，并组织实施；</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、负责对全区文化、体育工作进行指导，并对文化、体育市场进行监督和管理；</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、负责全区学前教育、基础教育、职业技术教育、成人教育、民办教育等教育行政管理、教育督学管理和教育安全管理工作。指导开展教育科研及教师培训工作。组织全区的招生考试工作；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、负责全区公立中小学、幼儿园校舍的建设和维修；</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、负责全区医疗、文化体育、教学设备设施的配备和管理；</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、负责全区教育信息系统建设、管理和维护工作；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、负责全区教师队伍继续教育岗位培训工作；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、负责全区学校的在编人员管理工作；负责全区教师资格的审定、职称评审、工资福利、人事档案管理等工作；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、负责全区学校的学籍管理工作；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、负责编制全区教育经费预决算及学校经费核拨等工作；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全区医疗、卫生、预防、保健工作。组织开展妇幼卫生、食品卫生、化妆品卫生、公共场所卫生、学校卫生、劳动卫生等监督管理工作。负责医疗机构的行政管理工作和监督工作。负责全区卫生科研和继续医学教育及培训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、负责全区卫生技术人员资格认证、医生护士注册及卫生行风建设。负责医疗纠纷、医疗事故的处理工作。负责地方病防治和重大突发事件及自然灾害的伤病员救治与疾病控制工作；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、负责全区计划生育工作，负责查处违反计划生育政策的行为；</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、负责全区爱国卫生工作；</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、负责全区食品安全监督管理工作。</w:t>
      </w:r>
    </w:p>
    <w:p>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教育文体局</w:t>
      </w:r>
      <w:r>
        <w:rPr>
          <w:rFonts w:hint="eastAsia" w:ascii="仿宋" w:hAnsi="仿宋" w:eastAsia="仿宋" w:cs="仿宋"/>
          <w:color w:val="000000"/>
          <w:kern w:val="0"/>
          <w:sz w:val="30"/>
          <w:szCs w:val="30"/>
        </w:rPr>
        <w:t>部门预算为本部综合收支计划，无二级单位。</w:t>
      </w:r>
    </w:p>
    <w:p>
      <w:pPr>
        <w:widowControl/>
        <w:spacing w:line="560" w:lineRule="exac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3616.6</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color w:val="000000"/>
          <w:kern w:val="0"/>
          <w:sz w:val="30"/>
          <w:szCs w:val="30"/>
        </w:rPr>
        <w:t>3616.6</w:t>
      </w:r>
      <w:r>
        <w:rPr>
          <w:rFonts w:hint="eastAsia" w:ascii="仿宋" w:hAnsi="仿宋" w:eastAsia="仿宋" w:cs="仿宋"/>
          <w:color w:val="000000"/>
          <w:kern w:val="0"/>
          <w:sz w:val="30"/>
          <w:szCs w:val="30"/>
        </w:rPr>
        <w:t>万</w:t>
      </w:r>
      <w:r>
        <w:rPr>
          <w:rFonts w:hint="eastAsia" w:ascii="仿宋" w:hAnsi="仿宋" w:eastAsia="仿宋" w:cs="仿宋"/>
          <w:sz w:val="30"/>
          <w:szCs w:val="30"/>
        </w:rPr>
        <w:t>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年预算数增加1514.6万元，其中财政拨款收入比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年预算数增加1514.6万元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年预算数增加1514.6万元，全部为</w:t>
      </w:r>
      <w:r>
        <w:rPr>
          <w:rFonts w:hint="eastAsia" w:ascii="仿宋" w:hAnsi="仿宋" w:eastAsia="仿宋" w:cs="仿宋"/>
          <w:sz w:val="30"/>
          <w:szCs w:val="30"/>
        </w:rPr>
        <w:t>商品和服务支出。</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无“三公”经费，同比减少5.3万元。</w:t>
      </w:r>
      <w:r>
        <w:rPr>
          <w:rFonts w:hint="eastAsia" w:ascii="仿宋" w:hAnsi="仿宋" w:eastAsia="仿宋" w:cs="仿宋"/>
          <w:color w:val="000000"/>
          <w:kern w:val="0"/>
          <w:sz w:val="30"/>
          <w:szCs w:val="30"/>
        </w:rPr>
        <w:t>主要是按照中央及市委、市政府关于厉行节约、改进工作作风、密切联系群众“八项规定”等有关要求，严格控制“三公”经费支出。</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10.5</w:t>
      </w:r>
      <w:r>
        <w:rPr>
          <w:rFonts w:hint="eastAsia" w:ascii="仿宋" w:hAnsi="仿宋" w:eastAsia="仿宋" w:cs="仿宋"/>
          <w:color w:val="000000"/>
          <w:kern w:val="0"/>
          <w:sz w:val="30"/>
          <w:szCs w:val="30"/>
        </w:rPr>
        <w:t>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国有资产占有使用情况说明为：截至2019年12月31日，部门（单位）共有车辆2辆；单位价值50万元（含）以上通用设备0台（套）；单位价值100万元以上专用设备0台（套）。</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20年，按照“先有绩效，后有预算”原则，本部门共计编制绩效目标11个，预算金额</w:t>
      </w:r>
      <w:r>
        <w:rPr>
          <w:rFonts w:ascii="仿宋" w:hAnsi="仿宋" w:eastAsia="仿宋" w:cs="Verdana"/>
          <w:color w:val="000000"/>
          <w:kern w:val="0"/>
          <w:sz w:val="30"/>
          <w:szCs w:val="30"/>
        </w:rPr>
        <w:t>3606.1</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w:t>
      </w:r>
    </w:p>
    <w:p>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八、高新区公共卫生服务中心建设项目情况说明</w:t>
      </w:r>
    </w:p>
    <w:p>
      <w:pPr>
        <w:numPr>
          <w:ilvl w:val="0"/>
          <w:numId w:val="1"/>
        </w:numPr>
        <w:ind w:firstLine="602" w:firstLineChars="200"/>
        <w:rPr>
          <w:rFonts w:ascii="仿宋" w:hAnsi="仿宋" w:eastAsia="仿宋" w:cs="仿宋"/>
          <w:b/>
          <w:bCs/>
          <w:sz w:val="30"/>
          <w:szCs w:val="30"/>
        </w:rPr>
      </w:pPr>
      <w:r>
        <w:rPr>
          <w:rFonts w:hint="eastAsia" w:ascii="仿宋" w:hAnsi="仿宋" w:eastAsia="仿宋" w:cs="仿宋"/>
          <w:b/>
          <w:bCs/>
          <w:sz w:val="30"/>
          <w:szCs w:val="30"/>
        </w:rPr>
        <w:t>项目概况</w:t>
      </w:r>
    </w:p>
    <w:p>
      <w:pPr>
        <w:ind w:firstLine="602" w:firstLineChars="200"/>
        <w:rPr>
          <w:rFonts w:ascii="仿宋" w:hAnsi="仿宋" w:eastAsia="仿宋" w:cs="仿宋"/>
          <w:b/>
          <w:bCs/>
          <w:sz w:val="30"/>
          <w:szCs w:val="30"/>
        </w:rPr>
      </w:pPr>
      <w:r>
        <w:rPr>
          <w:rFonts w:hint="eastAsia" w:ascii="仿宋" w:hAnsi="仿宋" w:eastAsia="仿宋" w:cs="仿宋"/>
          <w:b/>
          <w:bCs/>
          <w:sz w:val="30"/>
          <w:szCs w:val="30"/>
        </w:rPr>
        <w:t>1、项目简介</w:t>
      </w:r>
    </w:p>
    <w:p>
      <w:pPr>
        <w:widowControl/>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本项目将现有黄泥川地区一处综合楼改造为集疾病预防控制中心、卫生监督所、妇幼保健与计划生育服务中心、医疗服务中心、急救分站等功能于一体的卫生服务综合体。</w:t>
      </w:r>
    </w:p>
    <w:p>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 xml:space="preserve">2、建设地点 </w:t>
      </w:r>
    </w:p>
    <w:p>
      <w:pPr>
        <w:widowControl/>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项目建设地点位于大连市高新区黄泥川秀川街端头以东，南侧距旅顺南路1.5公里，距地铁12号线黄泥川站1.6公里，西侧距前黄线500米。场址三面环山，自然环境良好。</w:t>
      </w:r>
    </w:p>
    <w:p>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3、建设内容及规模</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项目总用地面积8162.13平方米，总建筑面积14469.32 平方米。现状功能为办公综合楼，共八层，建筑高度33.60米，其中，一二层层高4.2米，3-8层层高3.6米，室内外高差0.6米。为一类高层建筑，结构形式为框架结构。</w:t>
      </w:r>
    </w:p>
    <w:p>
      <w:pPr>
        <w:widowControl/>
        <w:numPr>
          <w:ilvl w:val="0"/>
          <w:numId w:val="1"/>
        </w:numPr>
        <w:ind w:firstLine="602" w:firstLineChars="200"/>
        <w:jc w:val="left"/>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立项依据</w:t>
      </w:r>
    </w:p>
    <w:p>
      <w:pPr>
        <w:widowControl/>
        <w:ind w:firstLine="602" w:firstLineChars="200"/>
        <w:jc w:val="left"/>
        <w:rPr>
          <w:rFonts w:ascii="仿宋" w:hAnsi="仿宋" w:eastAsia="仿宋" w:cs="仿宋"/>
          <w:b/>
          <w:color w:val="000000"/>
          <w:kern w:val="0"/>
          <w:sz w:val="30"/>
          <w:szCs w:val="30"/>
        </w:rPr>
      </w:pPr>
      <w:r>
        <w:rPr>
          <w:rFonts w:hint="eastAsia" w:ascii="仿宋" w:hAnsi="仿宋" w:eastAsia="仿宋" w:cs="仿宋"/>
          <w:b/>
          <w:color w:val="000000"/>
          <w:kern w:val="0"/>
          <w:sz w:val="30"/>
          <w:szCs w:val="30"/>
        </w:rPr>
        <w:t>1、项目建设符合国家、地方等政策规划要求</w:t>
      </w:r>
    </w:p>
    <w:p>
      <w:pPr>
        <w:widowControl/>
        <w:ind w:firstLine="450" w:firstLineChars="150"/>
        <w:jc w:val="left"/>
        <w:rPr>
          <w:rFonts w:ascii="仿宋" w:hAnsi="仿宋" w:eastAsia="仿宋" w:cs="仿宋"/>
          <w:sz w:val="30"/>
          <w:szCs w:val="30"/>
        </w:rPr>
      </w:pPr>
      <w:r>
        <w:rPr>
          <w:rFonts w:hint="eastAsia" w:ascii="仿宋" w:hAnsi="仿宋" w:eastAsia="仿宋" w:cs="仿宋"/>
          <w:color w:val="000000"/>
          <w:kern w:val="0"/>
          <w:sz w:val="30"/>
          <w:szCs w:val="30"/>
        </w:rPr>
        <w:t xml:space="preserve">《中华人民共和国国民经济和社会发展第十三个五年规划纲要》提出完善国家基本公共卫生服务项目和重大公共卫生服务项目，提高服务质量效率和均等化水平。提升基层公共卫生服务能力。《关于印发&lt;全民健康保障工程建设规划&gt;的通知》（发改社会〔2016〕2439号）目标到2020年，在中央和地方的共同努力下，全面改善医疗卫生薄弱环节基础设施条件，明显提升医疗卫生服务能力。《“健康中国2030”规划纲要》提出全面建成体系完整、分工明确、功能互补、密切协作、运行高效的整合型医疗卫生服务体系。县和市域内基本医疗卫生资源 按常住人口和服务半径合理布局，实现人人享有均等化的基本医疗卫 生服务。完善突发事件卫生应急体系，到2030年，突发事件卫生应 急处置能力达到发达国家水平。 </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《大连市卫生和计划生育事业发展</w:t>
      </w:r>
      <w:r>
        <w:rPr>
          <w:rFonts w:hint="eastAsia" w:ascii="仿宋" w:hAnsi="仿宋" w:eastAsia="仿宋" w:cs="仿宋"/>
          <w:color w:val="000000"/>
          <w:kern w:val="0"/>
          <w:sz w:val="30"/>
          <w:szCs w:val="30"/>
          <w:lang w:eastAsia="zh-CN"/>
        </w:rPr>
        <w:t>“</w:t>
      </w:r>
      <w:bookmarkStart w:id="0" w:name="_GoBack"/>
      <w:r>
        <w:rPr>
          <w:rFonts w:hint="eastAsia" w:ascii="仿宋" w:hAnsi="仿宋" w:eastAsia="仿宋" w:cs="仿宋"/>
          <w:color w:val="000000"/>
          <w:kern w:val="0"/>
          <w:sz w:val="30"/>
          <w:szCs w:val="30"/>
        </w:rPr>
        <w:t>十三五</w:t>
      </w:r>
      <w:bookmarkEnd w:id="0"/>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规划》提出，“加强医疗卫生服务体系和能力建设。全面落实《全国医疗卫生服务体系规划纲要（2015-2020年）》和《辽宁省医疗卫生服务体系规划（2015-2020年）》，出台《大连市区域卫生规划（2016-2020 年）》和《大连市医疗 机构设置规划（2016-2020年）》，加快构建体系完整、分工明确、功 能互补、密切协作的整合性医疗卫生服务体系。同时《大连市国民经 济和社会发展</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十三五</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规划纲要》中提出，强化公共卫生体系建设，进 一步提高医疗服务水平。着重健全以县级医疗卫生机构为龙头、乡镇卫生院为枢纽、村卫生室为基础的农村医疗卫生服务体系。提升基层医疗卫生服务水平，加强基层医疗卫生机构标准化建设。加强人才培养和引进，改善就医条件，完善医疗卫生服务体系，建立分级诊疗模式，提高医疗服务水平。</w:t>
      </w:r>
    </w:p>
    <w:p>
      <w:pPr>
        <w:widowControl/>
        <w:jc w:val="left"/>
        <w:rPr>
          <w:rFonts w:ascii="仿宋" w:hAnsi="仿宋" w:eastAsia="仿宋" w:cs="仿宋"/>
          <w:b/>
          <w:bCs/>
          <w:sz w:val="30"/>
          <w:szCs w:val="30"/>
        </w:rPr>
      </w:pPr>
      <w:r>
        <w:rPr>
          <w:rFonts w:hint="eastAsia" w:ascii="仿宋" w:hAnsi="仿宋" w:eastAsia="仿宋" w:cs="仿宋"/>
          <w:b/>
          <w:bCs/>
          <w:color w:val="000000"/>
          <w:kern w:val="0"/>
          <w:sz w:val="30"/>
          <w:szCs w:val="30"/>
        </w:rPr>
        <w:t xml:space="preserve">    2、项目建设满足服务地方经济社会发展的需要 </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随着高新区经济不断发展，人民生活水平与医疗服务质量的矛盾日益突出，制约卫生事业发展的体制性、机制性、结构性问题未根本解决，卫生事业发展滞后的问题仍然比较突出。我国人口总量仍在持续增长，老龄化进程加快，群众卫生服务需求不断提高。城市化、工业化引发的人口流动、环境污染、突发公共卫生事件、职业卫生和意外伤害等一系列社会问题，使卫生服务体系和医疗保障体系面临严峻挑战。 </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自抗击新型冠状病毒感染的肺炎斗争开展以来，充分体现出要保持国家经济持续稳定发展，应重视加强公共健康、社会保障、环境保护等工作，重视经济建设和社会事业协调发展，必须有安定的社会环境和人们良好的健康水平予以支撑和保证。因此政府应加大对社会事业的投入，当前尤其要加强公共卫生事业基础设施的建设，进一步增强全社会对传染病的预防、监测和救治能力。 </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通过本项目建设，可满足高新区现有22万群众和满足未来增加的人民群众就医需要。完善现有服务功能，是保障人民群众身体健康的重要举措，是保障区经济发展的重要举措，有利于高新区社会主义和谐社会的建设发展。</w:t>
      </w:r>
    </w:p>
    <w:p>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 xml:space="preserve">3、项目建设是高新区医疗卫生事业自身发展的需要 </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随着高新区社会经济的迅速发展，人民群众生活水平的不断提高，卫生条件逐步改善，医疗水平亦相应提高。为适应社会的发展与人民的需要，高新区医疗卫生事业需要与时俱进的建设与发展。</w:t>
      </w:r>
    </w:p>
    <w:p>
      <w:pPr>
        <w:widowControl/>
        <w:ind w:firstLine="600" w:firstLineChars="200"/>
        <w:jc w:val="left"/>
        <w:rPr>
          <w:rFonts w:ascii="仿宋" w:hAnsi="仿宋" w:eastAsia="仿宋"/>
          <w:sz w:val="30"/>
          <w:szCs w:val="30"/>
        </w:rPr>
      </w:pPr>
      <w:r>
        <w:rPr>
          <w:rFonts w:ascii="仿宋" w:hAnsi="仿宋" w:eastAsia="仿宋" w:cs="仿宋_GB2312"/>
          <w:color w:val="000000"/>
          <w:kern w:val="0"/>
          <w:sz w:val="30"/>
          <w:szCs w:val="30"/>
        </w:rPr>
        <w:t>近期新型冠状病毒肺炎疫情蔓延至各国，我国形势虽逐步好转，但由于高新区是大连市高新技术产业基地、自主创新平台、软件和服务外包的核心区，也是大连市的对外开放先导区、科技兴市的示范区。综合上述高新区独特属性，该区域对外交流度高、人员流动性极强，但目前高新区卫生监督所和疾控中心合署办公，办公场所非常简陋，妇幼保健院和急救中心、实验室没有办公场所，属于空白，对于基层疫情管控的基础条件不够完全。</w:t>
      </w:r>
    </w:p>
    <w:p>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本项目的建设将完善高新区基本医疗服务功能，满足人民群众看病就医的需求，改善周边群众就医条件，完善医疗卫生服务体系，提高高新区医疗服务水平，同时对突发公共卫生事件的管控起到积极作用。</w:t>
      </w:r>
    </w:p>
    <w:p>
      <w:pPr>
        <w:widowControl/>
        <w:ind w:firstLine="602" w:firstLineChars="200"/>
        <w:jc w:val="left"/>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4、</w:t>
      </w:r>
      <w:r>
        <w:rPr>
          <w:rFonts w:ascii="仿宋" w:hAnsi="仿宋" w:eastAsia="仿宋" w:cs="仿宋_GB2312"/>
          <w:b/>
          <w:color w:val="000000"/>
          <w:kern w:val="0"/>
          <w:sz w:val="30"/>
          <w:szCs w:val="30"/>
        </w:rPr>
        <w:t>项目建设能够有效改善当地基础设施条件、保障人民健康</w:t>
      </w:r>
    </w:p>
    <w:p>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随着高新区经济的不断发展，原有高新技术产业园区疾病预防控制中心已不能满足群众的实际医疗服务需求，若情况长期得不到改善，必然会影响当地国民素质健康，影响社会安定团结，影响群众对经济社会发展的信心。加快医疗卫生事业发展，提高公共卫生服务质量与效率，逐步缩小医疗卫生服务差距，可切实解决人民群众的就医需求，使广大人民群众的生命安全得到有效保障，维护社会稳定，促进经济发展。因此，项目的建设十分必要。</w:t>
      </w:r>
    </w:p>
    <w:p>
      <w:pPr>
        <w:widowControl/>
        <w:numPr>
          <w:ilvl w:val="0"/>
          <w:numId w:val="1"/>
        </w:numPr>
        <w:ind w:firstLine="602" w:firstLineChars="200"/>
        <w:jc w:val="left"/>
        <w:rPr>
          <w:rFonts w:ascii="仿宋" w:hAnsi="仿宋" w:eastAsia="仿宋" w:cs="仿宋_GB2312"/>
          <w:b/>
          <w:bCs/>
          <w:color w:val="000000"/>
          <w:kern w:val="0"/>
          <w:sz w:val="30"/>
          <w:szCs w:val="30"/>
        </w:rPr>
      </w:pPr>
      <w:r>
        <w:rPr>
          <w:rFonts w:hint="eastAsia" w:ascii="仿宋" w:hAnsi="仿宋" w:eastAsia="仿宋" w:cs="仿宋_GB2312"/>
          <w:b/>
          <w:bCs/>
          <w:color w:val="000000"/>
          <w:kern w:val="0"/>
          <w:sz w:val="30"/>
          <w:szCs w:val="30"/>
        </w:rPr>
        <w:t>实施主体</w:t>
      </w:r>
    </w:p>
    <w:p>
      <w:pPr>
        <w:widowControl/>
        <w:ind w:left="420" w:left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该项目由教育文体局组织实施。</w:t>
      </w:r>
    </w:p>
    <w:p>
      <w:pPr>
        <w:widowControl/>
        <w:numPr>
          <w:ilvl w:val="0"/>
          <w:numId w:val="1"/>
        </w:numPr>
        <w:ind w:firstLine="602" w:firstLineChars="200"/>
        <w:jc w:val="left"/>
        <w:rPr>
          <w:rFonts w:ascii="仿宋" w:hAnsi="仿宋" w:eastAsia="仿宋" w:cs="仿宋_GB2312"/>
          <w:b/>
          <w:bCs/>
          <w:color w:val="000000"/>
          <w:kern w:val="0"/>
          <w:sz w:val="30"/>
          <w:szCs w:val="30"/>
        </w:rPr>
      </w:pPr>
      <w:r>
        <w:rPr>
          <w:rFonts w:hint="eastAsia" w:ascii="仿宋" w:hAnsi="仿宋" w:eastAsia="仿宋" w:cs="仿宋_GB2312"/>
          <w:b/>
          <w:bCs/>
          <w:color w:val="000000"/>
          <w:kern w:val="0"/>
          <w:sz w:val="30"/>
          <w:szCs w:val="30"/>
        </w:rPr>
        <w:t>实施方案</w:t>
      </w:r>
    </w:p>
    <w:p>
      <w:pPr>
        <w:widowControl/>
        <w:ind w:left="601"/>
        <w:jc w:val="left"/>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1、</w:t>
      </w:r>
      <w:r>
        <w:rPr>
          <w:rFonts w:ascii="仿宋" w:hAnsi="仿宋" w:eastAsia="仿宋" w:cs="仿宋_GB2312"/>
          <w:b/>
          <w:color w:val="000000"/>
          <w:kern w:val="0"/>
          <w:sz w:val="30"/>
          <w:szCs w:val="30"/>
        </w:rPr>
        <w:t>项目整体定位及指导思想</w:t>
      </w:r>
    </w:p>
    <w:p>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本项目将根据现代化、科学化、人文化的指导思想要求进行规划设计，结合项目区群众对医疗实际需要，立足现实，面向未来</w:t>
      </w:r>
      <w:r>
        <w:rPr>
          <w:rFonts w:hint="eastAsia" w:ascii="仿宋" w:hAnsi="仿宋" w:eastAsia="仿宋" w:cs="仿宋_GB2312"/>
          <w:color w:val="000000"/>
          <w:kern w:val="0"/>
          <w:sz w:val="30"/>
          <w:szCs w:val="30"/>
        </w:rPr>
        <w:t>，</w:t>
      </w:r>
      <w:r>
        <w:rPr>
          <w:rFonts w:ascii="仿宋" w:hAnsi="仿宋" w:eastAsia="仿宋" w:cs="仿宋_GB2312"/>
          <w:color w:val="000000"/>
          <w:kern w:val="0"/>
          <w:sz w:val="30"/>
          <w:szCs w:val="30"/>
        </w:rPr>
        <w:t>努力达到适应群众的需求，建设规模适度，设施设备先进，服务功能完善，本着动静隔离、文明卫生的原则，最大限度地满足群众医疗服务需求，并具有强烈的现代化气息</w:t>
      </w:r>
      <w:r>
        <w:rPr>
          <w:rFonts w:hint="eastAsia" w:ascii="仿宋" w:hAnsi="仿宋" w:eastAsia="仿宋" w:cs="仿宋_GB2312"/>
          <w:color w:val="000000"/>
          <w:kern w:val="0"/>
          <w:sz w:val="30"/>
          <w:szCs w:val="30"/>
        </w:rPr>
        <w:t>。</w:t>
      </w:r>
      <w:r>
        <w:rPr>
          <w:rFonts w:ascii="仿宋" w:hAnsi="仿宋" w:eastAsia="仿宋" w:cs="仿宋_GB2312"/>
          <w:color w:val="000000"/>
          <w:kern w:val="0"/>
          <w:sz w:val="30"/>
          <w:szCs w:val="30"/>
        </w:rPr>
        <w:t>项目建设能够提高大连高新园区医疗卫生服务水平，弥补医疗机构空缺，带动产业发展，改善区域投资环境。</w:t>
      </w:r>
    </w:p>
    <w:p>
      <w:pPr>
        <w:widowControl/>
        <w:ind w:left="601"/>
        <w:jc w:val="left"/>
        <w:rPr>
          <w:rFonts w:ascii="仿宋" w:hAnsi="仿宋" w:eastAsia="仿宋" w:cs="仿宋_GB2312"/>
          <w:b/>
          <w:bCs/>
          <w:color w:val="000000"/>
          <w:kern w:val="0"/>
          <w:sz w:val="30"/>
          <w:szCs w:val="30"/>
        </w:rPr>
      </w:pPr>
      <w:r>
        <w:rPr>
          <w:rFonts w:hint="eastAsia" w:ascii="仿宋" w:hAnsi="仿宋" w:eastAsia="仿宋" w:cs="仿宋_GB2312"/>
          <w:b/>
          <w:bCs/>
          <w:color w:val="000000"/>
          <w:kern w:val="0"/>
          <w:sz w:val="30"/>
          <w:szCs w:val="30"/>
        </w:rPr>
        <w:t>2、</w:t>
      </w:r>
      <w:r>
        <w:rPr>
          <w:rFonts w:ascii="仿宋" w:hAnsi="仿宋" w:eastAsia="仿宋" w:cs="仿宋_GB2312"/>
          <w:b/>
          <w:bCs/>
          <w:color w:val="000000"/>
          <w:kern w:val="0"/>
          <w:sz w:val="30"/>
          <w:szCs w:val="30"/>
        </w:rPr>
        <w:t>规划目标</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（1）、充分利用现有土地，最大程度满足患者就医需求； </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（2）、各功能布局合理，适应不同活动的需要，并适当考虑未来发展；</w:t>
      </w:r>
    </w:p>
    <w:p>
      <w:pPr>
        <w:widowControl/>
        <w:jc w:val="left"/>
        <w:rPr>
          <w:rFonts w:ascii="仿宋" w:hAnsi="仿宋" w:eastAsia="仿宋" w:cs="仿宋"/>
          <w:sz w:val="30"/>
          <w:szCs w:val="30"/>
        </w:rPr>
      </w:pPr>
      <w:r>
        <w:rPr>
          <w:rFonts w:hint="eastAsia" w:ascii="仿宋" w:hAnsi="仿宋" w:eastAsia="仿宋" w:cs="仿宋"/>
          <w:color w:val="000000"/>
          <w:kern w:val="0"/>
          <w:sz w:val="30"/>
          <w:szCs w:val="30"/>
        </w:rPr>
        <w:t xml:space="preserve">  （3）、功能分区明确，科学地组织人流和物流，避免或减少交叉感染； </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（4）、充分利用地形地貌，在不影响使用功能和满足安全卫生要求的前提下，医院建筑适当集中布置； </w:t>
      </w:r>
    </w:p>
    <w:p>
      <w:pPr>
        <w:widowControl/>
        <w:ind w:firstLine="300" w:firstLineChars="1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（5）、建筑美观大方，达到相关建筑标准。</w:t>
      </w:r>
    </w:p>
    <w:p>
      <w:pPr>
        <w:widowControl/>
        <w:ind w:firstLine="602" w:firstLineChars="200"/>
        <w:jc w:val="left"/>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3、规划原则</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（1）、项目建设依据国家有关法律、法规和规定，与经济社会发展相适应，坚持科学、合理、经济、适用的原则。 </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（2）、项目将根据现代化、科学化的要求指导思想进行规划设计，充分体现了以服务社会为中心的经营理念，能最大限度地满足社会医疗服务需求。 </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（3）、建筑适应现代医疗技术及医疗管理的变革，同时配合国家医疗体制的改革，在地域中充分发挥其重要性。 </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（4）、建筑功能分区与建设组成科学合理，各个部分医疗空间面积优化组织紧凑有效。 </w:t>
      </w:r>
    </w:p>
    <w:p>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（5）、充分考虑长远发展，以满足医疗技术的进步和医疗设备的更新。 </w:t>
      </w:r>
    </w:p>
    <w:p>
      <w:pPr>
        <w:widowControl/>
        <w:ind w:firstLine="300" w:firstLineChars="1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（6）、符合地区规划发展的要求。</w:t>
      </w:r>
    </w:p>
    <w:p>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 xml:space="preserve">4、建设内容及规模 </w:t>
      </w:r>
    </w:p>
    <w:p>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项目总用地面积</w:t>
      </w:r>
      <w:r>
        <w:rPr>
          <w:rFonts w:ascii="仿宋" w:hAnsi="仿宋" w:eastAsia="仿宋" w:cs="TimesNewRomanPSMT"/>
          <w:color w:val="000000"/>
          <w:kern w:val="0"/>
          <w:sz w:val="30"/>
          <w:szCs w:val="30"/>
        </w:rPr>
        <w:t>20000</w:t>
      </w:r>
      <w:r>
        <w:rPr>
          <w:rFonts w:ascii="仿宋" w:hAnsi="仿宋" w:eastAsia="仿宋" w:cs="仿宋_GB2312"/>
          <w:color w:val="000000"/>
          <w:kern w:val="0"/>
          <w:sz w:val="30"/>
          <w:szCs w:val="30"/>
        </w:rPr>
        <w:t>平方米，规划总建筑面积</w:t>
      </w:r>
      <w:r>
        <w:rPr>
          <w:rFonts w:ascii="仿宋" w:hAnsi="仿宋" w:eastAsia="仿宋" w:cs="TimesNewRomanPSMT"/>
          <w:color w:val="000000"/>
          <w:kern w:val="0"/>
          <w:sz w:val="30"/>
          <w:szCs w:val="30"/>
        </w:rPr>
        <w:t>16000</w:t>
      </w:r>
      <w:r>
        <w:rPr>
          <w:rFonts w:ascii="仿宋" w:hAnsi="仿宋" w:eastAsia="仿宋" w:cs="仿宋_GB2312"/>
          <w:color w:val="000000"/>
          <w:kern w:val="0"/>
          <w:sz w:val="30"/>
          <w:szCs w:val="30"/>
        </w:rPr>
        <w:t>平方米，其中地上建筑面积</w:t>
      </w:r>
      <w:r>
        <w:rPr>
          <w:rFonts w:ascii="仿宋" w:hAnsi="仿宋" w:eastAsia="仿宋" w:cs="TimesNewRomanPSMT"/>
          <w:color w:val="000000"/>
          <w:kern w:val="0"/>
          <w:sz w:val="30"/>
          <w:szCs w:val="30"/>
        </w:rPr>
        <w:t>12000</w:t>
      </w:r>
      <w:r>
        <w:rPr>
          <w:rFonts w:ascii="仿宋" w:hAnsi="仿宋" w:eastAsia="仿宋" w:cs="仿宋_GB2312"/>
          <w:color w:val="000000"/>
          <w:kern w:val="0"/>
          <w:sz w:val="30"/>
          <w:szCs w:val="30"/>
        </w:rPr>
        <w:t>平方米，新建疾病控制中心</w:t>
      </w:r>
      <w:r>
        <w:rPr>
          <w:rFonts w:ascii="仿宋" w:hAnsi="仿宋" w:eastAsia="仿宋" w:cs="TimesNewRomanPSMT"/>
          <w:color w:val="000000"/>
          <w:kern w:val="0"/>
          <w:sz w:val="30"/>
          <w:szCs w:val="30"/>
        </w:rPr>
        <w:t>4000</w:t>
      </w:r>
      <w:r>
        <w:rPr>
          <w:rFonts w:ascii="仿宋" w:hAnsi="仿宋" w:eastAsia="仿宋" w:cs="仿宋_GB2312"/>
          <w:color w:val="000000"/>
          <w:kern w:val="0"/>
          <w:sz w:val="30"/>
          <w:szCs w:val="30"/>
        </w:rPr>
        <w:t>平方米、卫生监督所</w:t>
      </w:r>
      <w:r>
        <w:rPr>
          <w:rFonts w:ascii="仿宋" w:hAnsi="仿宋" w:eastAsia="仿宋" w:cs="TimesNewRomanPSMT"/>
          <w:color w:val="000000"/>
          <w:kern w:val="0"/>
          <w:sz w:val="30"/>
          <w:szCs w:val="30"/>
        </w:rPr>
        <w:t>2000</w:t>
      </w:r>
      <w:r>
        <w:rPr>
          <w:rFonts w:ascii="仿宋" w:hAnsi="仿宋" w:eastAsia="仿宋" w:cs="仿宋_GB2312"/>
          <w:color w:val="000000"/>
          <w:kern w:val="0"/>
          <w:sz w:val="30"/>
          <w:szCs w:val="30"/>
        </w:rPr>
        <w:t>平方米、急救站</w:t>
      </w:r>
      <w:r>
        <w:rPr>
          <w:rFonts w:ascii="仿宋" w:hAnsi="仿宋" w:eastAsia="仿宋" w:cs="TimesNewRomanPSMT"/>
          <w:color w:val="000000"/>
          <w:kern w:val="0"/>
          <w:sz w:val="30"/>
          <w:szCs w:val="30"/>
        </w:rPr>
        <w:t>500</w:t>
      </w:r>
      <w:r>
        <w:rPr>
          <w:rFonts w:ascii="仿宋" w:hAnsi="仿宋" w:eastAsia="仿宋" w:cs="仿宋_GB2312"/>
          <w:color w:val="000000"/>
          <w:kern w:val="0"/>
          <w:sz w:val="30"/>
          <w:szCs w:val="30"/>
        </w:rPr>
        <w:t>平方米、医疗卫生服务中心</w:t>
      </w:r>
      <w:r>
        <w:rPr>
          <w:rFonts w:ascii="仿宋" w:hAnsi="仿宋" w:eastAsia="仿宋" w:cs="TimesNewRomanPSMT"/>
          <w:color w:val="000000"/>
          <w:kern w:val="0"/>
          <w:sz w:val="30"/>
          <w:szCs w:val="30"/>
        </w:rPr>
        <w:t>500</w:t>
      </w:r>
      <w:r>
        <w:rPr>
          <w:rFonts w:ascii="仿宋" w:hAnsi="仿宋" w:eastAsia="仿宋" w:cs="仿宋_GB2312"/>
          <w:color w:val="000000"/>
          <w:kern w:val="0"/>
          <w:sz w:val="30"/>
          <w:szCs w:val="30"/>
        </w:rPr>
        <w:t>平方米、妇幼保健门诊部</w:t>
      </w:r>
      <w:r>
        <w:rPr>
          <w:rFonts w:ascii="仿宋" w:hAnsi="仿宋" w:eastAsia="仿宋" w:cs="TimesNewRomanPSMT"/>
          <w:color w:val="000000"/>
          <w:kern w:val="0"/>
          <w:sz w:val="30"/>
          <w:szCs w:val="30"/>
        </w:rPr>
        <w:t>2000</w:t>
      </w:r>
      <w:r>
        <w:rPr>
          <w:rFonts w:ascii="仿宋" w:hAnsi="仿宋" w:eastAsia="仿宋" w:cs="仿宋_GB2312"/>
          <w:color w:val="000000"/>
          <w:kern w:val="0"/>
          <w:sz w:val="30"/>
          <w:szCs w:val="30"/>
        </w:rPr>
        <w:t>平方米、妇幼保健住院部</w:t>
      </w:r>
      <w:r>
        <w:rPr>
          <w:rFonts w:ascii="仿宋" w:hAnsi="仿宋" w:eastAsia="仿宋" w:cs="TimesNewRomanPSMT"/>
          <w:color w:val="000000"/>
          <w:kern w:val="0"/>
          <w:sz w:val="30"/>
          <w:szCs w:val="30"/>
        </w:rPr>
        <w:t>2000</w:t>
      </w:r>
      <w:r>
        <w:rPr>
          <w:rFonts w:ascii="仿宋" w:hAnsi="仿宋" w:eastAsia="仿宋" w:cs="仿宋_GB2312"/>
          <w:color w:val="000000"/>
          <w:kern w:val="0"/>
          <w:sz w:val="30"/>
          <w:szCs w:val="30"/>
        </w:rPr>
        <w:t>平方米、计划生育用房</w:t>
      </w:r>
      <w:r>
        <w:rPr>
          <w:rFonts w:ascii="仿宋" w:hAnsi="仿宋" w:eastAsia="仿宋" w:cs="TimesNewRomanPSMT"/>
          <w:color w:val="000000"/>
          <w:kern w:val="0"/>
          <w:sz w:val="30"/>
          <w:szCs w:val="30"/>
        </w:rPr>
        <w:t>1000</w:t>
      </w:r>
      <w:r>
        <w:rPr>
          <w:rFonts w:ascii="仿宋" w:hAnsi="仿宋" w:eastAsia="仿宋" w:cs="仿宋_GB2312"/>
          <w:color w:val="000000"/>
          <w:kern w:val="0"/>
          <w:sz w:val="30"/>
          <w:szCs w:val="30"/>
        </w:rPr>
        <w:t>平方米；地下建筑面积</w:t>
      </w:r>
      <w:r>
        <w:rPr>
          <w:rFonts w:ascii="仿宋" w:hAnsi="仿宋" w:eastAsia="仿宋" w:cs="TimesNewRomanPSMT"/>
          <w:color w:val="000000"/>
          <w:kern w:val="0"/>
          <w:sz w:val="30"/>
          <w:szCs w:val="30"/>
        </w:rPr>
        <w:t>4000</w:t>
      </w:r>
      <w:r>
        <w:rPr>
          <w:rFonts w:ascii="仿宋" w:hAnsi="仿宋" w:eastAsia="仿宋" w:cs="仿宋_GB2312"/>
          <w:color w:val="000000"/>
          <w:kern w:val="0"/>
          <w:sz w:val="30"/>
          <w:szCs w:val="30"/>
        </w:rPr>
        <w:t>平方米，暂作人防考虑</w:t>
      </w:r>
      <w:r>
        <w:rPr>
          <w:rFonts w:hint="eastAsia" w:ascii="仿宋" w:hAnsi="仿宋" w:eastAsia="仿宋" w:cs="仿宋_GB2312"/>
          <w:color w:val="000000"/>
          <w:kern w:val="0"/>
          <w:sz w:val="30"/>
          <w:szCs w:val="30"/>
        </w:rPr>
        <w:t>；</w:t>
      </w:r>
      <w:r>
        <w:rPr>
          <w:rFonts w:ascii="仿宋" w:hAnsi="仿宋" w:eastAsia="仿宋" w:cs="仿宋_GB2312"/>
          <w:color w:val="000000"/>
          <w:kern w:val="0"/>
          <w:sz w:val="30"/>
          <w:szCs w:val="30"/>
        </w:rPr>
        <w:t>室外绿化、道路硬化、管线、智能化等配套设施。</w:t>
      </w:r>
    </w:p>
    <w:p>
      <w:pPr>
        <w:widowControl/>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5、项目实施步骤</w:t>
      </w:r>
    </w:p>
    <w:p>
      <w:pPr>
        <w:widowControl/>
        <w:ind w:firstLine="600" w:firstLineChars="200"/>
        <w:jc w:val="left"/>
        <w:rPr>
          <w:rFonts w:ascii="仿宋" w:hAnsi="仿宋" w:eastAsia="仿宋" w:cs="Arial"/>
          <w:sz w:val="30"/>
          <w:szCs w:val="30"/>
        </w:rPr>
      </w:pPr>
      <w:r>
        <w:rPr>
          <w:rFonts w:hint="eastAsia" w:ascii="仿宋" w:hAnsi="仿宋" w:eastAsia="仿宋" w:cs="仿宋"/>
          <w:sz w:val="30"/>
          <w:szCs w:val="30"/>
        </w:rPr>
        <w:t>项目可研编制</w:t>
      </w:r>
      <w:r>
        <w:rPr>
          <w:rFonts w:ascii="仿宋" w:hAnsi="仿宋" w:eastAsia="仿宋" w:cs="Arial"/>
          <w:sz w:val="30"/>
          <w:szCs w:val="30"/>
        </w:rPr>
        <w:t>→</w:t>
      </w:r>
      <w:r>
        <w:rPr>
          <w:rFonts w:hint="eastAsia" w:ascii="仿宋" w:hAnsi="仿宋" w:eastAsia="仿宋" w:cs="仿宋"/>
          <w:sz w:val="30"/>
          <w:szCs w:val="30"/>
        </w:rPr>
        <w:t>立项审批</w:t>
      </w:r>
      <w:r>
        <w:rPr>
          <w:rFonts w:ascii="仿宋" w:hAnsi="仿宋" w:eastAsia="仿宋" w:cs="Arial"/>
          <w:sz w:val="30"/>
          <w:szCs w:val="30"/>
        </w:rPr>
        <w:t>→</w:t>
      </w:r>
      <w:r>
        <w:rPr>
          <w:rFonts w:hint="eastAsia" w:ascii="仿宋" w:hAnsi="仿宋" w:eastAsia="仿宋" w:cs="Arial"/>
          <w:sz w:val="30"/>
          <w:szCs w:val="30"/>
        </w:rPr>
        <w:t>招投标</w:t>
      </w:r>
      <w:r>
        <w:rPr>
          <w:rFonts w:ascii="仿宋" w:hAnsi="仿宋" w:eastAsia="仿宋" w:cs="Arial"/>
          <w:sz w:val="30"/>
          <w:szCs w:val="30"/>
        </w:rPr>
        <w:t>→</w:t>
      </w:r>
      <w:r>
        <w:rPr>
          <w:rFonts w:hint="eastAsia" w:ascii="仿宋" w:hAnsi="仿宋" w:eastAsia="仿宋" w:cs="Arial"/>
          <w:sz w:val="30"/>
          <w:szCs w:val="30"/>
        </w:rPr>
        <w:t>施工图设计</w:t>
      </w:r>
      <w:r>
        <w:rPr>
          <w:rFonts w:ascii="仿宋" w:hAnsi="仿宋" w:eastAsia="仿宋" w:cs="Arial"/>
          <w:sz w:val="30"/>
          <w:szCs w:val="30"/>
        </w:rPr>
        <w:t>→</w:t>
      </w:r>
      <w:r>
        <w:rPr>
          <w:rFonts w:hint="eastAsia" w:ascii="仿宋" w:hAnsi="仿宋" w:eastAsia="仿宋" w:cs="Arial"/>
          <w:sz w:val="30"/>
          <w:szCs w:val="30"/>
        </w:rPr>
        <w:t>设备采购</w:t>
      </w:r>
      <w:r>
        <w:rPr>
          <w:rFonts w:ascii="仿宋" w:hAnsi="仿宋" w:eastAsia="仿宋" w:cs="Arial"/>
          <w:sz w:val="30"/>
          <w:szCs w:val="30"/>
        </w:rPr>
        <w:t>→</w:t>
      </w:r>
      <w:r>
        <w:rPr>
          <w:rFonts w:hint="eastAsia" w:ascii="仿宋" w:hAnsi="仿宋" w:eastAsia="仿宋" w:cs="Arial"/>
          <w:sz w:val="30"/>
          <w:szCs w:val="30"/>
        </w:rPr>
        <w:t>改造建设及设备安装</w:t>
      </w:r>
      <w:r>
        <w:rPr>
          <w:rFonts w:ascii="仿宋" w:hAnsi="仿宋" w:eastAsia="仿宋" w:cs="Arial"/>
          <w:sz w:val="30"/>
          <w:szCs w:val="30"/>
        </w:rPr>
        <w:t>→</w:t>
      </w:r>
      <w:r>
        <w:rPr>
          <w:rFonts w:hint="eastAsia" w:ascii="仿宋" w:hAnsi="仿宋" w:eastAsia="仿宋" w:cs="Arial"/>
          <w:sz w:val="30"/>
          <w:szCs w:val="30"/>
        </w:rPr>
        <w:t>室外工程</w:t>
      </w:r>
      <w:r>
        <w:rPr>
          <w:rFonts w:ascii="仿宋" w:hAnsi="仿宋" w:eastAsia="仿宋" w:cs="Arial"/>
          <w:sz w:val="30"/>
          <w:szCs w:val="30"/>
        </w:rPr>
        <w:t>→</w:t>
      </w:r>
      <w:r>
        <w:rPr>
          <w:rFonts w:hint="eastAsia" w:ascii="仿宋" w:hAnsi="仿宋" w:eastAsia="仿宋" w:cs="Arial"/>
          <w:sz w:val="30"/>
          <w:szCs w:val="30"/>
        </w:rPr>
        <w:t>竣工验收及交付使用。</w:t>
      </w:r>
    </w:p>
    <w:p>
      <w:pPr>
        <w:widowControl/>
        <w:ind w:firstLine="600" w:firstLineChars="200"/>
        <w:jc w:val="left"/>
        <w:rPr>
          <w:rFonts w:ascii="仿宋" w:hAnsi="仿宋" w:eastAsia="仿宋" w:cs="Arial"/>
          <w:sz w:val="30"/>
          <w:szCs w:val="30"/>
        </w:rPr>
      </w:pPr>
    </w:p>
    <w:p>
      <w:pPr>
        <w:widowControl/>
        <w:numPr>
          <w:ilvl w:val="0"/>
          <w:numId w:val="1"/>
        </w:numPr>
        <w:ind w:firstLine="602" w:firstLineChars="200"/>
        <w:jc w:val="left"/>
        <w:rPr>
          <w:rFonts w:ascii="仿宋" w:hAnsi="仿宋" w:eastAsia="仿宋" w:cs="Arial"/>
          <w:b/>
          <w:bCs/>
          <w:sz w:val="30"/>
          <w:szCs w:val="30"/>
        </w:rPr>
      </w:pPr>
      <w:r>
        <w:rPr>
          <w:rFonts w:hint="eastAsia" w:ascii="仿宋" w:hAnsi="仿宋" w:eastAsia="仿宋" w:cs="Arial"/>
          <w:b/>
          <w:bCs/>
          <w:sz w:val="30"/>
          <w:szCs w:val="30"/>
        </w:rPr>
        <w:t>实施周期</w:t>
      </w:r>
    </w:p>
    <w:p>
      <w:pPr>
        <w:widowControl/>
        <w:ind w:firstLine="6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项目建设期总计约22个月。该项目拟计划于2020年3月开始前期准备工作，预计2020年9月开工建设，建设工期约18个月，计划2021年12月竣工验收。</w:t>
      </w:r>
    </w:p>
    <w:p>
      <w:pPr>
        <w:widowControl/>
        <w:numPr>
          <w:ilvl w:val="0"/>
          <w:numId w:val="1"/>
        </w:numPr>
        <w:ind w:firstLine="602" w:firstLineChars="200"/>
        <w:jc w:val="left"/>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年度预算安排</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项目总投资约11283万元。其中，建安工程费5454万元，设备购置及安装费4128万元，工程建设其他费1164万元，预备费537万元。</w:t>
      </w:r>
    </w:p>
    <w:p>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根据项目实施进度及投资估算安排，项目共跨越2个年度，总投资11283万元，其中，2020年投资4259万元，2021年投资7024 万元。 </w:t>
      </w:r>
    </w:p>
    <w:p>
      <w:pPr>
        <w:widowControl/>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
    <w:panose1 w:val="02010609060101010101"/>
    <w:charset w:val="86"/>
    <w:family w:val="roman"/>
    <w:pitch w:val="default"/>
    <w:sig w:usb0="800002BF" w:usb1="38CF7CFA" w:usb2="00000016" w:usb3="00000000" w:csb0="00040001" w:csb1="0000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626120903">
    <w:nsid w:val="9C876CC7"/>
    <w:multiLevelType w:val="singleLevel"/>
    <w:tmpl w:val="9C876CC7"/>
    <w:lvl w:ilvl="0" w:tentative="1">
      <w:start w:val="1"/>
      <w:numFmt w:val="chineseCounting"/>
      <w:suff w:val="space"/>
      <w:lvlText w:val="%1、"/>
      <w:lvlJc w:val="left"/>
      <w:rPr>
        <w:rFonts w:hint="eastAsia"/>
      </w:rPr>
    </w:lvl>
  </w:abstractNum>
  <w:num w:numId="1">
    <w:abstractNumId w:val="26261209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35718"/>
    <w:rsid w:val="0004171C"/>
    <w:rsid w:val="000962DC"/>
    <w:rsid w:val="000A0E7F"/>
    <w:rsid w:val="000B19FE"/>
    <w:rsid w:val="000F0E69"/>
    <w:rsid w:val="0010550E"/>
    <w:rsid w:val="00140D43"/>
    <w:rsid w:val="0017491B"/>
    <w:rsid w:val="00180CC6"/>
    <w:rsid w:val="00187190"/>
    <w:rsid w:val="001961A4"/>
    <w:rsid w:val="00196C55"/>
    <w:rsid w:val="001B1BDA"/>
    <w:rsid w:val="001C414C"/>
    <w:rsid w:val="001D7A46"/>
    <w:rsid w:val="001E3E93"/>
    <w:rsid w:val="001E4FA0"/>
    <w:rsid w:val="001F3FA9"/>
    <w:rsid w:val="001F787D"/>
    <w:rsid w:val="002364E6"/>
    <w:rsid w:val="00264775"/>
    <w:rsid w:val="00264838"/>
    <w:rsid w:val="002751C6"/>
    <w:rsid w:val="00276B7E"/>
    <w:rsid w:val="0027776A"/>
    <w:rsid w:val="002A3B9D"/>
    <w:rsid w:val="002D3804"/>
    <w:rsid w:val="002E340D"/>
    <w:rsid w:val="002F06B5"/>
    <w:rsid w:val="002F1721"/>
    <w:rsid w:val="002F5830"/>
    <w:rsid w:val="0032799C"/>
    <w:rsid w:val="003614CE"/>
    <w:rsid w:val="0036297E"/>
    <w:rsid w:val="003765C8"/>
    <w:rsid w:val="003849FD"/>
    <w:rsid w:val="00394791"/>
    <w:rsid w:val="003A5054"/>
    <w:rsid w:val="003C105F"/>
    <w:rsid w:val="003E5660"/>
    <w:rsid w:val="003F2062"/>
    <w:rsid w:val="00410D86"/>
    <w:rsid w:val="00411DB1"/>
    <w:rsid w:val="004125E7"/>
    <w:rsid w:val="004221E9"/>
    <w:rsid w:val="004366F5"/>
    <w:rsid w:val="004F0DE4"/>
    <w:rsid w:val="00524CF2"/>
    <w:rsid w:val="00560950"/>
    <w:rsid w:val="00566ACF"/>
    <w:rsid w:val="005A04CC"/>
    <w:rsid w:val="005A25A0"/>
    <w:rsid w:val="005D43D5"/>
    <w:rsid w:val="00613B30"/>
    <w:rsid w:val="006351A9"/>
    <w:rsid w:val="00635D18"/>
    <w:rsid w:val="00682C0F"/>
    <w:rsid w:val="00690D8F"/>
    <w:rsid w:val="006B68CF"/>
    <w:rsid w:val="006F6EDB"/>
    <w:rsid w:val="007009D8"/>
    <w:rsid w:val="00713F78"/>
    <w:rsid w:val="0072325E"/>
    <w:rsid w:val="00755C7B"/>
    <w:rsid w:val="007805EB"/>
    <w:rsid w:val="007E6ACF"/>
    <w:rsid w:val="007E72AB"/>
    <w:rsid w:val="00815347"/>
    <w:rsid w:val="0082020C"/>
    <w:rsid w:val="00822864"/>
    <w:rsid w:val="00832D0F"/>
    <w:rsid w:val="00840BA4"/>
    <w:rsid w:val="008620BC"/>
    <w:rsid w:val="008A708A"/>
    <w:rsid w:val="008B01B8"/>
    <w:rsid w:val="008B2A74"/>
    <w:rsid w:val="008C7B8D"/>
    <w:rsid w:val="00941B10"/>
    <w:rsid w:val="00961681"/>
    <w:rsid w:val="009840B5"/>
    <w:rsid w:val="009A3B7A"/>
    <w:rsid w:val="009F057E"/>
    <w:rsid w:val="009F1015"/>
    <w:rsid w:val="00A12672"/>
    <w:rsid w:val="00A279E0"/>
    <w:rsid w:val="00A302AB"/>
    <w:rsid w:val="00A53DAD"/>
    <w:rsid w:val="00A5549A"/>
    <w:rsid w:val="00A93DB9"/>
    <w:rsid w:val="00AD57F2"/>
    <w:rsid w:val="00B20A02"/>
    <w:rsid w:val="00B50384"/>
    <w:rsid w:val="00B526CD"/>
    <w:rsid w:val="00B94878"/>
    <w:rsid w:val="00BA1402"/>
    <w:rsid w:val="00BA1A74"/>
    <w:rsid w:val="00BA1B06"/>
    <w:rsid w:val="00BE30B8"/>
    <w:rsid w:val="00BE4B3A"/>
    <w:rsid w:val="00C36BAA"/>
    <w:rsid w:val="00CB2663"/>
    <w:rsid w:val="00CC5F55"/>
    <w:rsid w:val="00CE117C"/>
    <w:rsid w:val="00D176CA"/>
    <w:rsid w:val="00D43C74"/>
    <w:rsid w:val="00D52BEC"/>
    <w:rsid w:val="00D8553F"/>
    <w:rsid w:val="00DB5122"/>
    <w:rsid w:val="00DC1136"/>
    <w:rsid w:val="00DD605A"/>
    <w:rsid w:val="00DE721C"/>
    <w:rsid w:val="00E571CD"/>
    <w:rsid w:val="00EB6E55"/>
    <w:rsid w:val="00EE134B"/>
    <w:rsid w:val="00EE3FDD"/>
    <w:rsid w:val="00F01060"/>
    <w:rsid w:val="00F2580F"/>
    <w:rsid w:val="00F51C4B"/>
    <w:rsid w:val="00FB1292"/>
    <w:rsid w:val="00FD7251"/>
    <w:rsid w:val="00FE4788"/>
    <w:rsid w:val="2E0545EF"/>
    <w:rsid w:val="4893473D"/>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locked/>
    <w:uiPriority w:val="99"/>
    <w:rPr>
      <w:rFonts w:ascii="Times New Roman" w:hAnsi="Times New Roman" w:eastAsia="宋体" w:cs="Times New Roman"/>
      <w:sz w:val="18"/>
      <w:szCs w:val="18"/>
    </w:rPr>
  </w:style>
  <w:style w:type="character" w:customStyle="1" w:styleId="7">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895</Words>
  <Characters>5107</Characters>
  <Lines>42</Lines>
  <Paragraphs>11</Paragraphs>
  <ScaleCrop>false</ScaleCrop>
  <LinksUpToDate>false</LinksUpToDate>
  <CharactersWithSpaces>5991</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Administrator</cp:lastModifiedBy>
  <cp:lastPrinted>2016-02-06T07:02:00Z</cp:lastPrinted>
  <dcterms:modified xsi:type="dcterms:W3CDTF">2025-01-24T07:27:26Z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