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12D8E">
      <w:pPr>
        <w:spacing w:line="600" w:lineRule="exact"/>
        <w:rPr>
          <w:rFonts w:ascii="仿宋_GB2312" w:eastAsia="仿宋_GB2312"/>
          <w:sz w:val="32"/>
          <w:szCs w:val="32"/>
        </w:rPr>
      </w:pPr>
    </w:p>
    <w:p w14:paraId="01F4CE61">
      <w:pPr>
        <w:widowControl/>
        <w:spacing w:line="330" w:lineRule="atLeast"/>
        <w:jc w:val="center"/>
        <w:rPr>
          <w:rFonts w:hint="eastAsia" w:cs="仿宋" w:asciiTheme="minorEastAsia" w:hAnsiTheme="minorEastAsia" w:eastAsiaTheme="minorEastAsia"/>
          <w:b/>
          <w:bCs/>
          <w:sz w:val="36"/>
          <w:szCs w:val="36"/>
          <w:lang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自然资源局</w:t>
      </w:r>
    </w:p>
    <w:p w14:paraId="2CEAC623">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1E72FBF4">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7C3C805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05B443F6">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5C01F17B">
      <w:pPr>
        <w:ind w:firstLine="600" w:firstLineChars="200"/>
        <w:rPr>
          <w:rFonts w:hint="eastAsia" w:ascii="仿宋" w:hAnsi="仿宋" w:eastAsia="仿宋"/>
          <w:sz w:val="30"/>
          <w:szCs w:val="30"/>
        </w:rPr>
      </w:pPr>
      <w:r>
        <w:rPr>
          <w:rFonts w:hint="eastAsia" w:ascii="仿宋" w:hAnsi="仿宋" w:eastAsia="仿宋"/>
          <w:sz w:val="30"/>
          <w:szCs w:val="30"/>
        </w:rPr>
        <w:t>（一）履行全民所有土地、矿产、森林、草原、湿地、水、海洋等自然资源资产所有者职责和所有国土空间用途管制职责。贯彻执行国家自然资源和国土空间规划及测绘等法律、法规及规章。</w:t>
      </w:r>
    </w:p>
    <w:p w14:paraId="32BA5AF4">
      <w:pPr>
        <w:ind w:firstLine="600" w:firstLineChars="200"/>
        <w:rPr>
          <w:rFonts w:hint="eastAsia" w:ascii="仿宋" w:hAnsi="仿宋" w:eastAsia="仿宋"/>
          <w:sz w:val="30"/>
          <w:szCs w:val="30"/>
        </w:rPr>
      </w:pPr>
      <w:r>
        <w:rPr>
          <w:rFonts w:hint="eastAsia" w:ascii="仿宋" w:hAnsi="仿宋" w:eastAsia="仿宋"/>
          <w:sz w:val="30"/>
          <w:szCs w:val="30"/>
        </w:rPr>
        <w:t>（二）贯彻执行自然资源调查监测评价的指标体系和统计标准，执行自然资源调查监测评价制度。实施自然资源基础凋查、专查和监测。负责自然资源调查监测评价成果的监督管理和信息发布。</w:t>
      </w:r>
    </w:p>
    <w:p w14:paraId="2433B7EA">
      <w:pPr>
        <w:ind w:firstLine="600" w:firstLineChars="200"/>
        <w:rPr>
          <w:rFonts w:hint="eastAsia" w:ascii="仿宋" w:hAnsi="仿宋" w:eastAsia="仿宋"/>
          <w:sz w:val="30"/>
          <w:szCs w:val="30"/>
        </w:rPr>
      </w:pPr>
      <w:r>
        <w:rPr>
          <w:rFonts w:hint="eastAsia" w:ascii="仿宋" w:hAnsi="仿宋" w:eastAsia="仿宋"/>
          <w:sz w:val="30"/>
          <w:szCs w:val="30"/>
        </w:rPr>
        <w:t>（三）贯彻执行各类自然资源和不动产统一确权登记、权籍调查、不动产测绘、争议调处、成果应用的制度、标准、规范。建立健全自然资源和不动产登记信息管理基础平台建设。负责自然资源和不动产登记资料收集、整理、共享、汇交管理等。</w:t>
      </w:r>
    </w:p>
    <w:p w14:paraId="65865364">
      <w:pPr>
        <w:ind w:firstLine="600" w:firstLineChars="200"/>
        <w:rPr>
          <w:rFonts w:hint="eastAsia" w:ascii="仿宋" w:hAnsi="仿宋" w:eastAsia="仿宋"/>
          <w:sz w:val="30"/>
          <w:szCs w:val="30"/>
        </w:rPr>
      </w:pPr>
      <w:r>
        <w:rPr>
          <w:rFonts w:hint="eastAsia" w:ascii="仿宋" w:hAnsi="仿宋" w:eastAsia="仿宋"/>
          <w:sz w:val="30"/>
          <w:szCs w:val="30"/>
        </w:rPr>
        <w:t>（四）落实全民所有自然资源资产统计制度，负责高新区全民所有自然资源资产核算。负责自然资源资产价值评估管理，依法收缴相关资产收益。</w:t>
      </w:r>
    </w:p>
    <w:p w14:paraId="51F423B7">
      <w:pPr>
        <w:ind w:firstLine="600" w:firstLineChars="200"/>
        <w:rPr>
          <w:rFonts w:hint="eastAsia" w:ascii="仿宋" w:hAnsi="仿宋" w:eastAsia="仿宋"/>
          <w:sz w:val="30"/>
          <w:szCs w:val="30"/>
        </w:rPr>
      </w:pPr>
      <w:r>
        <w:rPr>
          <w:rFonts w:hint="eastAsia" w:ascii="仿宋" w:hAnsi="仿宋" w:eastAsia="仿宋"/>
          <w:sz w:val="30"/>
          <w:szCs w:val="30"/>
        </w:rPr>
        <w:t>（五）贯彻执行国家、省、市自然资源发展规划，组织编制全区自然资源发展规划。执行自然资源开发利用标准，实施政府公示自然资源价格体系制度，组织开展自然资源分等定级价格评估，开展自然资源利用评价考核，落实自然资源节约集约利用。负责自然资源市场监管。</w:t>
      </w:r>
    </w:p>
    <w:p w14:paraId="2C9E32D7">
      <w:pPr>
        <w:ind w:firstLine="600" w:firstLineChars="200"/>
        <w:rPr>
          <w:rFonts w:hint="eastAsia" w:ascii="仿宋" w:hAnsi="仿宋" w:eastAsia="仿宋"/>
          <w:sz w:val="30"/>
          <w:szCs w:val="30"/>
        </w:rPr>
      </w:pPr>
      <w:r>
        <w:rPr>
          <w:rFonts w:hint="eastAsia" w:ascii="仿宋" w:hAnsi="仿宋" w:eastAsia="仿宋"/>
          <w:sz w:val="30"/>
          <w:szCs w:val="30"/>
        </w:rPr>
        <w:t>（六）组织划定生态保护红线、永久基本农田、城镇开发边界等控制线，构建节约资源和保护环境的生产、生活、生态空间布局。实施国土空间用途管制制度及土地等自然资源年度利用计划。负责土地等国土空间用途转用工作。承担需报国务院、省政府和市政府批准的土地转用、征收征用的相关工作。负责建设用地、建设工程的规划管理工作，负责土地许可，建设项目的规划管理。</w:t>
      </w:r>
    </w:p>
    <w:p w14:paraId="0FC4F5DD">
      <w:pPr>
        <w:ind w:firstLine="600" w:firstLineChars="200"/>
        <w:rPr>
          <w:rFonts w:hint="eastAsia" w:ascii="仿宋" w:hAnsi="仿宋" w:eastAsia="仿宋"/>
          <w:sz w:val="30"/>
          <w:szCs w:val="30"/>
        </w:rPr>
      </w:pPr>
      <w:r>
        <w:rPr>
          <w:rFonts w:hint="eastAsia" w:ascii="仿宋" w:hAnsi="仿宋" w:eastAsia="仿宋"/>
          <w:sz w:val="30"/>
          <w:szCs w:val="30"/>
        </w:rPr>
        <w:t>（七）组织实施国土空间生态修复规划并实施有关生态修复重大工程。负责国土空间综合整治、土地整理复垦、矿山地质环境恢复治理、海洋生态、海域海岸线和海岛修复等工作。牵头拟定生态补偿制度并组织实施，制定合理生态修复的政策措施。</w:t>
      </w:r>
    </w:p>
    <w:p w14:paraId="7B5C0267">
      <w:pPr>
        <w:ind w:firstLine="600" w:firstLineChars="200"/>
        <w:rPr>
          <w:rFonts w:hint="eastAsia" w:ascii="仿宋" w:hAnsi="仿宋" w:eastAsia="仿宋"/>
          <w:sz w:val="30"/>
          <w:szCs w:val="30"/>
        </w:rPr>
      </w:pPr>
      <w:r>
        <w:rPr>
          <w:rFonts w:hint="eastAsia" w:ascii="仿宋" w:hAnsi="仿宋" w:eastAsia="仿宋"/>
          <w:sz w:val="30"/>
          <w:szCs w:val="30"/>
        </w:rPr>
        <w:t>（八）执行城乡规划管理的方针政策及法律法规。负责高新区各类专项规划设计。负责组织有关部门编制、修编审核各类规划。</w:t>
      </w:r>
    </w:p>
    <w:p w14:paraId="6AE29919">
      <w:pPr>
        <w:ind w:firstLine="600" w:firstLineChars="200"/>
        <w:rPr>
          <w:rFonts w:hint="eastAsia" w:ascii="仿宋" w:hAnsi="仿宋" w:eastAsia="仿宋"/>
          <w:sz w:val="30"/>
          <w:szCs w:val="30"/>
        </w:rPr>
      </w:pPr>
      <w:r>
        <w:rPr>
          <w:rFonts w:hint="eastAsia" w:ascii="仿宋" w:hAnsi="仿宋" w:eastAsia="仿宋"/>
          <w:sz w:val="30"/>
          <w:szCs w:val="30"/>
        </w:rPr>
        <w:t>（九）落实耕地保护政策，负责耕地数量、质量、生态保护。组织实施耕地保护责任目标考核和永久基本农田特殊保护，落实耕地占补平衡制度。</w:t>
      </w:r>
    </w:p>
    <w:p w14:paraId="61EE422E">
      <w:pPr>
        <w:ind w:firstLine="600" w:firstLineChars="200"/>
        <w:rPr>
          <w:rFonts w:hint="eastAsia" w:ascii="仿宋" w:hAnsi="仿宋" w:eastAsia="仿宋"/>
          <w:sz w:val="30"/>
          <w:szCs w:val="30"/>
        </w:rPr>
      </w:pPr>
      <w:r>
        <w:rPr>
          <w:rFonts w:hint="eastAsia" w:ascii="仿宋" w:hAnsi="仿宋" w:eastAsia="仿宋"/>
          <w:sz w:val="30"/>
          <w:szCs w:val="30"/>
        </w:rPr>
        <w:t>（十）负责矿产资源管理，负责矿业权管理。监督指导矿产资源合理利用和保护。负责管理地质勘查行业和地质工作。组织实施地质调查评价、矿产资源勘查，编制地质勘查规划，管理地质勘查项目。负责地质灾害预防和治理。负责古生物化石的监督管理。</w:t>
      </w:r>
    </w:p>
    <w:p w14:paraId="6BA0E19C">
      <w:pPr>
        <w:ind w:firstLine="600" w:firstLineChars="200"/>
        <w:rPr>
          <w:rFonts w:hint="eastAsia" w:ascii="仿宋" w:hAnsi="仿宋" w:eastAsia="仿宋"/>
          <w:sz w:val="30"/>
          <w:szCs w:val="30"/>
        </w:rPr>
      </w:pPr>
      <w:r>
        <w:rPr>
          <w:rFonts w:hint="eastAsia" w:ascii="仿宋" w:hAnsi="仿宋" w:eastAsia="仿宋"/>
          <w:sz w:val="30"/>
          <w:szCs w:val="30"/>
        </w:rPr>
        <w:t>（十一）按照上级业务部门政策规定，拟订林业及其生态保护修复的政策、规划、标准并组织实施，组织开展森林、湿地、荒漠和陆生野生动植物资源动态监测与评价。</w:t>
      </w:r>
    </w:p>
    <w:p w14:paraId="45349D30">
      <w:pPr>
        <w:ind w:firstLine="600" w:firstLineChars="200"/>
        <w:rPr>
          <w:rFonts w:hint="eastAsia" w:ascii="仿宋" w:hAnsi="仿宋" w:eastAsia="仿宋"/>
          <w:sz w:val="30"/>
          <w:szCs w:val="30"/>
        </w:rPr>
      </w:pPr>
      <w:r>
        <w:rPr>
          <w:rFonts w:hint="eastAsia" w:ascii="仿宋" w:hAnsi="仿宋" w:eastAsia="仿宋"/>
          <w:sz w:val="30"/>
          <w:szCs w:val="30"/>
        </w:rPr>
        <w:t>（十二）组织实施林业重点生态保护修复工程，依法负责全区退耕还林工程管理工作，负责全区海防林的监督管理工作。指导公益林和商品林的培育，组织指导全面义务植树、绿化工作。指导林业有害生物防治、检疫工作。组织指导全区古树名木普查建档、保护管理工作，承担林业应对气候变化的相关工作，承担高新区绿化委员会的日常工作。</w:t>
      </w:r>
    </w:p>
    <w:p w14:paraId="13E26A8B">
      <w:pPr>
        <w:ind w:firstLine="600"/>
        <w:rPr>
          <w:rFonts w:hint="eastAsia" w:ascii="仿宋" w:hAnsi="仿宋" w:eastAsia="仿宋"/>
          <w:sz w:val="30"/>
          <w:szCs w:val="30"/>
        </w:rPr>
      </w:pPr>
      <w:r>
        <w:rPr>
          <w:rFonts w:hint="eastAsia" w:ascii="仿宋" w:hAnsi="仿宋" w:eastAsia="仿宋"/>
          <w:sz w:val="30"/>
          <w:szCs w:val="30"/>
        </w:rPr>
        <w:t>（十三）组织编制全区森林采伐限额，经省政府批准后监督执行。负责林地管理，拟订林地保护利用规划并组织实施，指导区级公益林划定和管理工作，管理国有森林资源。负责湿地生态保护修复工作，拟订湿地保护规划和相关标准，监督管理湿地的开发利用。</w:t>
      </w:r>
    </w:p>
    <w:p w14:paraId="045824F3">
      <w:pPr>
        <w:ind w:firstLine="600"/>
        <w:rPr>
          <w:rFonts w:hint="eastAsia" w:ascii="仿宋" w:hAnsi="仿宋" w:eastAsia="仿宋"/>
          <w:sz w:val="30"/>
          <w:szCs w:val="30"/>
        </w:rPr>
      </w:pPr>
      <w:r>
        <w:rPr>
          <w:rFonts w:hint="eastAsia" w:ascii="仿宋" w:hAnsi="仿宋" w:eastAsia="仿宋"/>
          <w:sz w:val="30"/>
          <w:szCs w:val="30"/>
        </w:rPr>
        <w:t>（十四）组织开展荒漠调查，组织拟订防沙治沙、石漠化防治及沙化土地封禁保护区建设规划，拟订相关地方标准，监督管理沙化土地的开发利用，组织沙尘暴灾害预测预报和应急处置。</w:t>
      </w:r>
    </w:p>
    <w:p w14:paraId="32D45CAF">
      <w:pPr>
        <w:ind w:firstLine="600"/>
        <w:rPr>
          <w:rFonts w:hint="eastAsia" w:ascii="仿宋" w:hAnsi="仿宋" w:eastAsia="仿宋"/>
          <w:sz w:val="30"/>
          <w:szCs w:val="30"/>
        </w:rPr>
      </w:pPr>
      <w:r>
        <w:rPr>
          <w:rFonts w:hint="eastAsia" w:ascii="仿宋" w:hAnsi="仿宋" w:eastAsia="仿宋"/>
          <w:sz w:val="30"/>
          <w:szCs w:val="30"/>
        </w:rPr>
        <w:t>（十五）组织开展陆生野生动植物资源调查，提出全区国家重点保护的陆生野生动物、植物名录调整的建议，指导陆生野生动植物的救护繁育、栖息地恢复发展、疫源疫病监测，监督管理陆生野生动植物猎捕或采集、驯养繁殖或培植、经营利用。</w:t>
      </w:r>
    </w:p>
    <w:p w14:paraId="52C05FFB">
      <w:pPr>
        <w:ind w:firstLine="600"/>
        <w:rPr>
          <w:rFonts w:hint="eastAsia" w:ascii="仿宋" w:hAnsi="仿宋" w:eastAsia="仿宋"/>
          <w:sz w:val="30"/>
          <w:szCs w:val="30"/>
        </w:rPr>
      </w:pPr>
      <w:r>
        <w:rPr>
          <w:rFonts w:hint="eastAsia" w:ascii="仿宋" w:hAnsi="仿宋" w:eastAsia="仿宋"/>
          <w:sz w:val="30"/>
          <w:szCs w:val="30"/>
        </w:rPr>
        <w:t>（十六）按照上级业务部门政策规定，拟订各类自然保护地、森林公园规划和相关区级标准。提出新建、调整区级自然保护地的审核建议并按程序报批，负责林业生物多样性保护相关工作。</w:t>
      </w:r>
    </w:p>
    <w:p w14:paraId="6A8D2E2E">
      <w:pPr>
        <w:ind w:firstLine="600"/>
        <w:rPr>
          <w:rFonts w:hint="eastAsia" w:ascii="仿宋" w:hAnsi="仿宋" w:eastAsia="仿宋"/>
          <w:sz w:val="30"/>
          <w:szCs w:val="30"/>
        </w:rPr>
      </w:pPr>
      <w:r>
        <w:rPr>
          <w:rFonts w:hint="eastAsia" w:ascii="仿宋" w:hAnsi="仿宋" w:eastAsia="仿宋"/>
          <w:sz w:val="30"/>
          <w:szCs w:val="30"/>
        </w:rPr>
        <w:t>（十七）按照上级业务部门政策规定，拟订集体林权制度、国有林场等重大改革意见并监督实施。拟订农村林业发展、维护林业经营者合法权益的政策措施，指导全区农村林地承包经营工作，指导集体林业适度规模经营。负责退耕（牧）还林还草工作，负责天然林保护工作。</w:t>
      </w:r>
    </w:p>
    <w:p w14:paraId="255AC16E">
      <w:pPr>
        <w:ind w:firstLine="600"/>
        <w:rPr>
          <w:rFonts w:hint="eastAsia" w:ascii="仿宋" w:hAnsi="仿宋" w:eastAsia="仿宋"/>
          <w:sz w:val="30"/>
          <w:szCs w:val="30"/>
        </w:rPr>
      </w:pPr>
      <w:r>
        <w:rPr>
          <w:rFonts w:hint="eastAsia" w:ascii="仿宋" w:hAnsi="仿宋" w:eastAsia="仿宋"/>
          <w:sz w:val="30"/>
          <w:szCs w:val="30"/>
        </w:rPr>
        <w:t>（十八）拟订我区林业资源优化配置及木材利用政策，按照国家有关规定，拟订林业产业地方标准并监督实施，组织、指导林产品质量监督，指导生态扶贫相关工作。</w:t>
      </w:r>
    </w:p>
    <w:p w14:paraId="76EC3986">
      <w:pPr>
        <w:ind w:firstLine="600"/>
        <w:rPr>
          <w:rFonts w:hint="eastAsia" w:ascii="仿宋" w:hAnsi="仿宋" w:eastAsia="仿宋"/>
          <w:sz w:val="30"/>
          <w:szCs w:val="30"/>
        </w:rPr>
      </w:pPr>
      <w:r>
        <w:rPr>
          <w:rFonts w:hint="eastAsia" w:ascii="仿宋" w:hAnsi="仿宋" w:eastAsia="仿宋"/>
          <w:sz w:val="30"/>
          <w:szCs w:val="30"/>
        </w:rPr>
        <w:t>（十九）组织林木种子、草种种质资源普查，组织建立种质资源库，负责良种选育推广，管理林木种苗、草种生产经营行为，监管林木种苗、草种质量。监督管理林业生物种质资源、转基因生物安全、植物新品种保护。</w:t>
      </w:r>
    </w:p>
    <w:p w14:paraId="1C3DAAEB">
      <w:pPr>
        <w:ind w:firstLine="600"/>
        <w:rPr>
          <w:rFonts w:hint="eastAsia" w:ascii="仿宋" w:hAnsi="仿宋" w:eastAsia="仿宋"/>
          <w:sz w:val="30"/>
          <w:szCs w:val="30"/>
        </w:rPr>
      </w:pPr>
      <w:r>
        <w:rPr>
          <w:rFonts w:hint="eastAsia" w:ascii="仿宋" w:hAnsi="仿宋" w:eastAsia="仿宋"/>
          <w:sz w:val="30"/>
          <w:szCs w:val="30"/>
        </w:rPr>
        <w:t>（二十）贯彻执行测绘地理信息工作方针、政策。负责基础测绘和测绘行业管理。负责测绘资质资格与信用管理，监督管理地理信息安全和市场秩序。负责地图管理并指导监督地理信息公共服务。负责测量标志保护。</w:t>
      </w:r>
    </w:p>
    <w:p w14:paraId="4CACE266">
      <w:pPr>
        <w:ind w:firstLine="600"/>
        <w:rPr>
          <w:rFonts w:hint="eastAsia" w:ascii="仿宋" w:hAnsi="仿宋" w:eastAsia="仿宋"/>
          <w:sz w:val="30"/>
          <w:szCs w:val="30"/>
        </w:rPr>
      </w:pPr>
      <w:r>
        <w:rPr>
          <w:rFonts w:hint="eastAsia" w:ascii="仿宋" w:hAnsi="仿宋" w:eastAsia="仿宋"/>
          <w:sz w:val="30"/>
          <w:szCs w:val="30"/>
        </w:rPr>
        <w:t>（二十一）按管委会规定权限，审核管委会规划内和年度计划内投资项目。参与拟订林业经济调节政策，组织实施林业生态补偿工作。</w:t>
      </w:r>
    </w:p>
    <w:p w14:paraId="33D9D2C2">
      <w:pPr>
        <w:ind w:firstLine="600"/>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val="en-US" w:eastAsia="zh-CN"/>
        </w:rPr>
        <w:t>二</w:t>
      </w:r>
      <w:r>
        <w:rPr>
          <w:rFonts w:hint="eastAsia" w:ascii="仿宋" w:hAnsi="仿宋" w:eastAsia="仿宋"/>
          <w:sz w:val="30"/>
          <w:szCs w:val="30"/>
        </w:rPr>
        <w:t>）组织指导协调和监督地质灾害调查评价及隐患的普查、详查、排查，指导开展群测群防、专业监测和预报预警等工作，指导开展地质灾害工程治理工作。承担地质灾害应急救援的技术支撑工作。指导开展防火巡护、火源管理、防火设施建设等工作。组织指导国有林场林区开展宣传教育、监测预警、督促检查等防火工作。</w:t>
      </w:r>
    </w:p>
    <w:p w14:paraId="1F591EE3">
      <w:pPr>
        <w:ind w:firstLine="600"/>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val="en-US" w:eastAsia="zh-CN"/>
        </w:rPr>
        <w:t>三</w:t>
      </w:r>
      <w:r>
        <w:rPr>
          <w:rFonts w:hint="eastAsia" w:ascii="仿宋" w:hAnsi="仿宋" w:eastAsia="仿宋"/>
          <w:sz w:val="30"/>
          <w:szCs w:val="30"/>
        </w:rPr>
        <w:t>）完成区党工委、管委会交办的其他任务。</w:t>
      </w:r>
    </w:p>
    <w:p w14:paraId="25BA445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2C9BFEA1">
      <w:pPr>
        <w:widowControl/>
        <w:spacing w:line="330" w:lineRule="atLeast"/>
        <w:ind w:firstLine="585"/>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本部门中，行政单位1个，事业单位1个，具体包括：大连高新技术产业园区自然资源局（本级），大连高新技术产业园区自然资源</w:t>
      </w:r>
      <w:r>
        <w:rPr>
          <w:rFonts w:hint="eastAsia" w:ascii="仿宋" w:hAnsi="仿宋" w:eastAsia="仿宋" w:cs="仿宋"/>
          <w:color w:val="000000"/>
          <w:kern w:val="0"/>
          <w:sz w:val="30"/>
          <w:szCs w:val="30"/>
          <w:lang w:val="en-US" w:eastAsia="zh-CN"/>
        </w:rPr>
        <w:t>管理所</w:t>
      </w:r>
      <w:r>
        <w:rPr>
          <w:rFonts w:hint="eastAsia" w:ascii="仿宋" w:hAnsi="仿宋" w:eastAsia="仿宋" w:cs="仿宋"/>
          <w:color w:val="000000"/>
          <w:kern w:val="0"/>
          <w:sz w:val="30"/>
          <w:szCs w:val="30"/>
          <w:lang w:eastAsia="zh-CN"/>
        </w:rPr>
        <w:t>。</w:t>
      </w:r>
    </w:p>
    <w:p w14:paraId="7C02F1A0">
      <w:pPr>
        <w:widowControl/>
        <w:spacing w:line="330" w:lineRule="atLeast"/>
        <w:ind w:firstLine="600" w:firstLineChars="200"/>
        <w:jc w:val="left"/>
        <w:rPr>
          <w:rFonts w:hint="eastAsia" w:ascii="仿宋" w:hAnsi="仿宋" w:eastAsia="仿宋" w:cs="仿宋"/>
          <w:color w:val="000000"/>
          <w:kern w:val="0"/>
          <w:sz w:val="30"/>
          <w:szCs w:val="30"/>
        </w:rPr>
      </w:pPr>
    </w:p>
    <w:p w14:paraId="5A792F2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1F3E3EDB">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5AA3720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按照综合预算的原则，本部门所有收入和支出均纳入部门预算管理，收入包括：财政拨款收入28158.71万元</w:t>
      </w:r>
      <w:r>
        <w:rPr>
          <w:rFonts w:hint="eastAsia" w:ascii="仿宋" w:hAnsi="仿宋" w:eastAsia="仿宋" w:cs="仿宋"/>
          <w:color w:val="000000"/>
          <w:kern w:val="0"/>
          <w:sz w:val="30"/>
          <w:szCs w:val="30"/>
          <w:lang w:eastAsia="zh-CN"/>
        </w:rPr>
        <w:t>，上年结转收入9.45</w:t>
      </w:r>
      <w:r>
        <w:rPr>
          <w:rFonts w:hint="eastAsia" w:ascii="仿宋" w:hAnsi="仿宋" w:eastAsia="仿宋" w:cs="仿宋"/>
          <w:color w:val="000000"/>
          <w:kern w:val="0"/>
          <w:sz w:val="30"/>
          <w:szCs w:val="30"/>
          <w:lang w:val="en-US" w:eastAsia="zh-CN"/>
        </w:rPr>
        <w:t>万元，共计28168.16万元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支出包括：</w:t>
      </w:r>
      <w:r>
        <w:rPr>
          <w:rFonts w:hint="eastAsia" w:ascii="仿宋" w:hAnsi="仿宋" w:eastAsia="仿宋" w:cs="仿宋"/>
          <w:color w:val="000000"/>
          <w:kern w:val="0"/>
          <w:sz w:val="30"/>
          <w:szCs w:val="30"/>
        </w:rPr>
        <w:t>一般公共预算支出</w:t>
      </w:r>
      <w:r>
        <w:rPr>
          <w:rFonts w:hint="eastAsia" w:ascii="仿宋" w:hAnsi="仿宋" w:eastAsia="仿宋" w:cs="仿宋"/>
          <w:color w:val="000000"/>
          <w:kern w:val="0"/>
          <w:sz w:val="30"/>
          <w:szCs w:val="30"/>
          <w:lang w:val="en-US" w:eastAsia="zh-CN"/>
        </w:rPr>
        <w:t>1098.71</w:t>
      </w:r>
      <w:r>
        <w:rPr>
          <w:rFonts w:hint="eastAsia" w:ascii="仿宋" w:hAnsi="仿宋" w:eastAsia="仿宋" w:cs="仿宋"/>
          <w:color w:val="000000"/>
          <w:kern w:val="0"/>
          <w:sz w:val="30"/>
          <w:szCs w:val="30"/>
        </w:rPr>
        <w:t>万元</w:t>
      </w:r>
      <w:bookmarkStart w:id="0" w:name="OLE_LINK101"/>
      <w:bookmarkStart w:id="1" w:name="OLE_LINK102"/>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人员经费</w:t>
      </w:r>
      <w:r>
        <w:rPr>
          <w:rFonts w:hint="eastAsia" w:ascii="仿宋" w:hAnsi="仿宋" w:eastAsia="仿宋" w:cs="仿宋"/>
          <w:color w:val="000000"/>
          <w:kern w:val="0"/>
          <w:sz w:val="30"/>
          <w:szCs w:val="30"/>
        </w:rPr>
        <w:t>支出487.75万元</w:t>
      </w:r>
      <w:bookmarkEnd w:id="0"/>
      <w:bookmarkEnd w:id="1"/>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公用经费支出16.98万元，项目经费</w:t>
      </w:r>
      <w:r>
        <w:rPr>
          <w:rFonts w:hint="eastAsia" w:ascii="仿宋" w:hAnsi="仿宋" w:eastAsia="仿宋" w:cs="仿宋"/>
          <w:color w:val="000000"/>
          <w:kern w:val="0"/>
          <w:sz w:val="30"/>
          <w:szCs w:val="30"/>
        </w:rPr>
        <w:t>支出</w:t>
      </w:r>
      <w:r>
        <w:rPr>
          <w:rFonts w:hint="eastAsia" w:ascii="仿宋" w:hAnsi="仿宋" w:eastAsia="仿宋" w:cs="仿宋"/>
          <w:color w:val="000000"/>
          <w:kern w:val="0"/>
          <w:sz w:val="30"/>
          <w:szCs w:val="30"/>
          <w:lang w:val="en-US" w:eastAsia="zh-CN"/>
        </w:rPr>
        <w:t>603</w:t>
      </w:r>
      <w:r>
        <w:rPr>
          <w:rFonts w:hint="eastAsia" w:ascii="仿宋" w:hAnsi="仿宋" w:eastAsia="仿宋" w:cs="仿宋"/>
          <w:color w:val="000000"/>
          <w:kern w:val="0"/>
          <w:sz w:val="30"/>
          <w:szCs w:val="30"/>
        </w:rPr>
        <w:t>.43万元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政府性基金预算支出</w:t>
      </w:r>
      <w:r>
        <w:rPr>
          <w:rFonts w:hint="eastAsia" w:ascii="仿宋" w:hAnsi="仿宋" w:eastAsia="仿宋" w:cs="仿宋"/>
          <w:color w:val="000000"/>
          <w:kern w:val="0"/>
          <w:sz w:val="30"/>
          <w:szCs w:val="30"/>
          <w:lang w:val="en-US" w:eastAsia="zh-CN"/>
        </w:rPr>
        <w:t>27060</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无国有资本经营预算收支。</w:t>
      </w:r>
    </w:p>
    <w:p w14:paraId="4FF34207">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77C8E524">
      <w:pPr>
        <w:spacing w:line="600" w:lineRule="exact"/>
        <w:ind w:firstLine="600" w:firstLineChars="200"/>
        <w:rPr>
          <w:rFonts w:ascii="仿宋" w:hAnsi="仿宋" w:eastAsia="仿宋" w:cs="仿宋"/>
          <w:color w:val="000000"/>
          <w:kern w:val="0"/>
          <w:sz w:val="30"/>
          <w:szCs w:val="30"/>
        </w:rPr>
      </w:pPr>
      <w:r>
        <w:rPr>
          <w:rFonts w:hint="eastAsia" w:ascii="仿宋" w:hAnsi="仿宋" w:eastAsia="仿宋"/>
          <w:sz w:val="30"/>
          <w:szCs w:val="30"/>
        </w:rPr>
        <w:t>无“三公”经费支出</w:t>
      </w:r>
      <w:r>
        <w:rPr>
          <w:rFonts w:hint="eastAsia" w:ascii="仿宋" w:hAnsi="仿宋" w:eastAsia="仿宋" w:cs="仿宋"/>
          <w:sz w:val="30"/>
          <w:szCs w:val="30"/>
        </w:rPr>
        <w:t>。</w:t>
      </w:r>
      <w:r>
        <w:rPr>
          <w:rFonts w:ascii="仿宋" w:hAnsi="仿宋" w:eastAsia="仿宋" w:cs="仿宋"/>
          <w:color w:val="000000"/>
          <w:kern w:val="0"/>
          <w:sz w:val="30"/>
          <w:szCs w:val="30"/>
        </w:rPr>
        <w:t>主要是按照中央及市委、市政府关于厉行节约、改进工作作风、密切联系群众“八项规定”等有关要求，严格控制“三公”经费支出</w:t>
      </w:r>
      <w:r>
        <w:rPr>
          <w:rFonts w:hint="eastAsia" w:ascii="仿宋" w:hAnsi="仿宋" w:eastAsia="仿宋" w:cs="仿宋"/>
          <w:color w:val="000000"/>
          <w:kern w:val="0"/>
          <w:sz w:val="30"/>
          <w:szCs w:val="30"/>
        </w:rPr>
        <w:t>。</w:t>
      </w:r>
    </w:p>
    <w:p w14:paraId="1919CE6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三、机关运行经费安排情况说明</w:t>
      </w:r>
    </w:p>
    <w:p w14:paraId="633A3988">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机关运行经费包括定额公用经费</w:t>
      </w:r>
      <w:r>
        <w:rPr>
          <w:rFonts w:hint="eastAsia" w:ascii="仿宋" w:hAnsi="仿宋" w:eastAsia="仿宋"/>
          <w:sz w:val="30"/>
          <w:szCs w:val="30"/>
          <w:lang w:val="en-US" w:eastAsia="zh-CN"/>
        </w:rPr>
        <w:t>16.98</w:t>
      </w:r>
      <w:r>
        <w:rPr>
          <w:rFonts w:hint="eastAsia" w:ascii="仿宋" w:hAnsi="仿宋" w:eastAsia="仿宋"/>
          <w:sz w:val="30"/>
          <w:szCs w:val="30"/>
        </w:rPr>
        <w:t>万元。</w:t>
      </w:r>
    </w:p>
    <w:p w14:paraId="30394598">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四、政府采购情况说明</w:t>
      </w:r>
    </w:p>
    <w:p w14:paraId="60348F16">
      <w:pPr>
        <w:spacing w:line="6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大连高新技术产业园区自然资源</w:t>
      </w:r>
      <w:r>
        <w:rPr>
          <w:rFonts w:hint="eastAsia" w:ascii="仿宋" w:hAnsi="仿宋" w:eastAsia="仿宋"/>
          <w:sz w:val="30"/>
          <w:szCs w:val="30"/>
          <w:lang w:val="en-US" w:eastAsia="zh-CN"/>
        </w:rPr>
        <w:t>事务服务中心不动产登记部开展</w:t>
      </w:r>
      <w:r>
        <w:rPr>
          <w:rFonts w:hint="eastAsia" w:ascii="仿宋" w:hAnsi="仿宋" w:eastAsia="仿宋"/>
          <w:sz w:val="30"/>
          <w:szCs w:val="30"/>
        </w:rPr>
        <w:t>非公证继承费用</w:t>
      </w:r>
      <w:r>
        <w:rPr>
          <w:rFonts w:hint="eastAsia" w:ascii="仿宋" w:hAnsi="仿宋" w:eastAsia="仿宋"/>
          <w:sz w:val="30"/>
          <w:szCs w:val="30"/>
          <w:lang w:val="en-US" w:eastAsia="zh-CN"/>
        </w:rPr>
        <w:t>159万元。</w:t>
      </w:r>
    </w:p>
    <w:p w14:paraId="07003E5B">
      <w:pPr>
        <w:spacing w:line="6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515C1E50">
      <w:pPr>
        <w:spacing w:line="600" w:lineRule="exact"/>
        <w:ind w:firstLine="600" w:firstLineChars="2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政府性基金预算支出</w:t>
      </w:r>
      <w:r>
        <w:rPr>
          <w:rFonts w:hint="eastAsia" w:ascii="仿宋" w:hAnsi="仿宋" w:eastAsia="仿宋" w:cs="仿宋"/>
          <w:color w:val="000000"/>
          <w:kern w:val="0"/>
          <w:sz w:val="30"/>
          <w:szCs w:val="30"/>
          <w:lang w:val="en-US" w:eastAsia="zh-CN"/>
        </w:rPr>
        <w:t>27060</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val="en-US" w:eastAsia="zh-CN"/>
        </w:rPr>
        <w:t>支出包括：商品和服务支出2393万元；资本性支出24667万元。</w:t>
      </w:r>
    </w:p>
    <w:p w14:paraId="2A0748A6">
      <w:pPr>
        <w:spacing w:line="6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7285FDB6">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年12月31日，部门（单位）共有车辆0辆；单位价值50万元（含）以上通用</w:t>
      </w:r>
      <w:r>
        <w:rPr>
          <w:rFonts w:hint="eastAsia" w:ascii="仿宋" w:hAnsi="仿宋" w:eastAsia="仿宋" w:cs="仿宋"/>
          <w:color w:val="000000"/>
          <w:kern w:val="0"/>
          <w:sz w:val="30"/>
          <w:szCs w:val="30"/>
          <w:lang w:val="en-US" w:eastAsia="zh-CN"/>
        </w:rPr>
        <w:t xml:space="preserve">设备0台（套）；单位价值100万元以上专用设备0台（套）。     </w:t>
      </w:r>
    </w:p>
    <w:p w14:paraId="51D5CB0D">
      <w:pPr>
        <w:widowControl/>
        <w:numPr>
          <w:ilvl w:val="0"/>
          <w:numId w:val="0"/>
        </w:numPr>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七、预算绩效管理情况</w:t>
      </w:r>
    </w:p>
    <w:p w14:paraId="4F1C33EB">
      <w:pPr>
        <w:ind w:firstLine="600" w:firstLineChars="200"/>
        <w:rPr>
          <w:rFonts w:hint="eastAsia" w:ascii="仿宋" w:hAnsi="仿宋" w:eastAsia="仿宋" w:cs="仿宋"/>
          <w:color w:val="000000"/>
          <w:kern w:val="0"/>
          <w:sz w:val="30"/>
          <w:szCs w:val="30"/>
          <w:lang w:val="en-US" w:eastAsia="zh-CN"/>
        </w:rPr>
      </w:pPr>
      <w:r>
        <w:rPr>
          <w:rFonts w:ascii="仿宋" w:hAnsi="仿宋" w:eastAsia="仿宋" w:cs="Verdana"/>
          <w:kern w:val="0"/>
          <w:sz w:val="30"/>
          <w:szCs w:val="30"/>
        </w:rPr>
        <w:t>20</w:t>
      </w:r>
      <w:r>
        <w:rPr>
          <w:rFonts w:hint="eastAsia" w:ascii="仿宋" w:hAnsi="仿宋" w:eastAsia="仿宋" w:cs="Verdana"/>
          <w:kern w:val="0"/>
          <w:sz w:val="30"/>
          <w:szCs w:val="30"/>
        </w:rPr>
        <w:t>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年，按照“先有绩效，后有预算”原则，本部门共计编制绩效目标</w:t>
      </w:r>
      <w:r>
        <w:rPr>
          <w:rFonts w:hint="eastAsia" w:ascii="仿宋" w:hAnsi="仿宋" w:eastAsia="仿宋" w:cs="Verdana"/>
          <w:kern w:val="0"/>
          <w:sz w:val="30"/>
          <w:szCs w:val="30"/>
          <w:lang w:val="en-US" w:eastAsia="zh-CN"/>
        </w:rPr>
        <w:t>9</w:t>
      </w:r>
      <w:r>
        <w:rPr>
          <w:rFonts w:hint="eastAsia" w:ascii="仿宋" w:hAnsi="仿宋" w:eastAsia="仿宋" w:cs="Verdana"/>
          <w:kern w:val="0"/>
          <w:sz w:val="30"/>
          <w:szCs w:val="30"/>
        </w:rPr>
        <w:t>个，预算金额27663.43万元，占项目支出预算比重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79E677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lang w:eastAsia="zh-CN"/>
        </w:rPr>
        <w:t>高新区</w:t>
      </w:r>
      <w:r>
        <w:rPr>
          <w:rFonts w:hint="eastAsia" w:ascii="仿宋" w:hAnsi="仿宋" w:eastAsia="仿宋" w:cs="Verdana"/>
          <w:kern w:val="0"/>
          <w:sz w:val="30"/>
          <w:szCs w:val="30"/>
          <w:lang w:val="en-US" w:eastAsia="zh-CN"/>
        </w:rPr>
        <w:t>2024年地质灾害点治理项目</w:t>
      </w:r>
    </w:p>
    <w:p w14:paraId="28C9F3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1.项目概述</w:t>
      </w:r>
    </w:p>
    <w:p w14:paraId="57E4C083">
      <w:pPr>
        <w:ind w:firstLine="600" w:firstLineChars="200"/>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对高新区龙王塘街道存在的4处崩塌地质灾害隐患点进行工程治理，通过工程治理可以减少和避免灾害的发生，保障人民生命财产的安全，提升社会的安全感，促进社会的可持续发展及和谐稳定。</w:t>
      </w:r>
    </w:p>
    <w:p w14:paraId="5528E554">
      <w:pPr>
        <w:numPr>
          <w:ilvl w:val="0"/>
          <w:numId w:val="2"/>
        </w:numPr>
        <w:ind w:firstLine="600" w:firstLineChars="200"/>
        <w:rPr>
          <w:rFonts w:hint="eastAsia"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立项依据</w:t>
      </w:r>
    </w:p>
    <w:p w14:paraId="554F770E">
      <w:pPr>
        <w:ind w:firstLine="600" w:firstLineChars="200"/>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《高新区2024年财政投资基本建设拟上项目及投资计划（第一批）》</w:t>
      </w:r>
    </w:p>
    <w:p w14:paraId="4E30BE91">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2B4ABC1E">
      <w:pPr>
        <w:ind w:firstLine="600" w:firstLineChars="200"/>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大连高新技术产业园区自然资源局</w:t>
      </w:r>
    </w:p>
    <w:p w14:paraId="4D0CE99A">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2B8BAD78">
      <w:pPr>
        <w:ind w:firstLine="600" w:firstLineChars="200"/>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对高新区4处地质灾害隐患点（官房村龙王塘水库东侧崩塌点、岔官路甘井子与龙王塘分界处崩塌点、岔官路张家村崩塌点、鲍鱼肚村冷库南侧崩塌点）进行安全防护、坡面清理、土方填挖、毛石混凝土挡墙、喷射混凝土面板、截排水系统、绿化等。</w:t>
      </w:r>
    </w:p>
    <w:p w14:paraId="229D38ED">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266AC91E">
      <w:pPr>
        <w:ind w:firstLine="600" w:firstLineChars="200"/>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 xml:space="preserve"> 2024年10月8日—2025年2月6日</w:t>
      </w:r>
    </w:p>
    <w:p w14:paraId="1E23EDA6">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798E0E8B">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_GB2312"/>
          <w:color w:val="000000"/>
          <w:kern w:val="0"/>
          <w:sz w:val="30"/>
          <w:szCs w:val="30"/>
          <w:lang w:val="en-US" w:eastAsia="zh-CN"/>
        </w:rPr>
        <w:t>2024年度预算安排58万元。</w:t>
      </w:r>
    </w:p>
    <w:p w14:paraId="77CB3619">
      <w:pPr>
        <w:widowControl/>
        <w:spacing w:line="330" w:lineRule="atLeast"/>
        <w:ind w:firstLine="600" w:firstLineChars="200"/>
        <w:jc w:val="left"/>
        <w:rPr>
          <w:rFonts w:hint="eastAsia" w:ascii="仿宋" w:hAnsi="仿宋" w:eastAsia="仿宋" w:cs="仿宋"/>
          <w:color w:val="000000"/>
          <w:kern w:val="0"/>
          <w:sz w:val="30"/>
          <w:szCs w:val="30"/>
        </w:rPr>
      </w:pPr>
    </w:p>
    <w:p w14:paraId="7F8EE5C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69030FC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529080E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1780682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6022DDD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60C32AE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E713B7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46A7665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157117C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2BEC05E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70F951A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378C7AC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0228A2F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4104DDD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122408C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4E4DD28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1CEB7B7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6A01FEC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53D7CB7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0AE37D72">
      <w:pPr>
        <w:widowControl/>
        <w:spacing w:line="330" w:lineRule="atLeast"/>
        <w:ind w:firstLine="600" w:firstLineChars="200"/>
        <w:jc w:val="left"/>
        <w:rPr>
          <w:rFonts w:ascii="仿宋" w:hAnsi="仿宋" w:eastAsia="仿宋" w:cs="仿宋"/>
          <w:color w:val="000000"/>
          <w:kern w:val="0"/>
          <w:sz w:val="30"/>
          <w:szCs w:val="30"/>
        </w:rPr>
      </w:pPr>
    </w:p>
    <w:p w14:paraId="15252BB2">
      <w:pPr>
        <w:widowControl/>
        <w:spacing w:line="330" w:lineRule="atLeast"/>
        <w:ind w:firstLine="600" w:firstLineChars="200"/>
        <w:jc w:val="left"/>
        <w:rPr>
          <w:rFonts w:ascii="仿宋" w:hAnsi="仿宋" w:eastAsia="仿宋" w:cs="仿宋"/>
          <w:color w:val="000000"/>
          <w:kern w:val="0"/>
          <w:sz w:val="30"/>
          <w:szCs w:val="30"/>
        </w:rPr>
      </w:pPr>
    </w:p>
    <w:p w14:paraId="3C66FE0E">
      <w:pPr>
        <w:widowControl/>
        <w:spacing w:line="330" w:lineRule="atLeast"/>
        <w:ind w:firstLine="600" w:firstLineChars="200"/>
        <w:jc w:val="left"/>
        <w:rPr>
          <w:rFonts w:ascii="仿宋" w:hAnsi="仿宋" w:eastAsia="仿宋" w:cs="仿宋"/>
          <w:color w:val="000000"/>
          <w:kern w:val="0"/>
          <w:sz w:val="30"/>
          <w:szCs w:val="30"/>
        </w:rPr>
      </w:pPr>
    </w:p>
    <w:p w14:paraId="403E8C5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bookmarkStart w:id="2" w:name="_GoBack"/>
      <w:bookmarkEnd w:id="2"/>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7DF8">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716A74E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E7AF">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E64B62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A5023"/>
    <w:multiLevelType w:val="singleLevel"/>
    <w:tmpl w:val="30CA5023"/>
    <w:lvl w:ilvl="0" w:tentative="0">
      <w:start w:val="2"/>
      <w:numFmt w:val="decimal"/>
      <w:lvlText w:val="%1."/>
      <w:lvlJc w:val="left"/>
      <w:pPr>
        <w:tabs>
          <w:tab w:val="left" w:pos="312"/>
        </w:tabs>
      </w:pPr>
    </w:lvl>
  </w:abstractNum>
  <w:abstractNum w:abstractNumId="1">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390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2F76F90"/>
    <w:rsid w:val="04062E0E"/>
    <w:rsid w:val="050454A3"/>
    <w:rsid w:val="0653096B"/>
    <w:rsid w:val="07424CE5"/>
    <w:rsid w:val="07964358"/>
    <w:rsid w:val="09E16FED"/>
    <w:rsid w:val="09F91840"/>
    <w:rsid w:val="0A481E7F"/>
    <w:rsid w:val="0B6B1275"/>
    <w:rsid w:val="0E6A46D2"/>
    <w:rsid w:val="11A46535"/>
    <w:rsid w:val="131B2827"/>
    <w:rsid w:val="19411027"/>
    <w:rsid w:val="21D96333"/>
    <w:rsid w:val="231B7F18"/>
    <w:rsid w:val="242C3C7F"/>
    <w:rsid w:val="287A0545"/>
    <w:rsid w:val="2D65543B"/>
    <w:rsid w:val="314E571E"/>
    <w:rsid w:val="322F5EED"/>
    <w:rsid w:val="3BBA0580"/>
    <w:rsid w:val="3F135279"/>
    <w:rsid w:val="40435681"/>
    <w:rsid w:val="438020AF"/>
    <w:rsid w:val="46D6135B"/>
    <w:rsid w:val="471338C7"/>
    <w:rsid w:val="473A2575"/>
    <w:rsid w:val="47961EA1"/>
    <w:rsid w:val="48B4226E"/>
    <w:rsid w:val="498B571A"/>
    <w:rsid w:val="4AE11787"/>
    <w:rsid w:val="4D732EA2"/>
    <w:rsid w:val="4DF00C86"/>
    <w:rsid w:val="4FC0624E"/>
    <w:rsid w:val="52D95337"/>
    <w:rsid w:val="55A6769E"/>
    <w:rsid w:val="586E0DBC"/>
    <w:rsid w:val="5DA1385F"/>
    <w:rsid w:val="5E1B51E2"/>
    <w:rsid w:val="60D35102"/>
    <w:rsid w:val="617A5F38"/>
    <w:rsid w:val="6BE74350"/>
    <w:rsid w:val="6C421A36"/>
    <w:rsid w:val="70D35CE9"/>
    <w:rsid w:val="73685A6C"/>
    <w:rsid w:val="752E10BB"/>
    <w:rsid w:val="7AE74C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4650</Words>
  <Characters>4785</Characters>
  <Lines>4</Lines>
  <Paragraphs>1</Paragraphs>
  <TotalTime>6</TotalTime>
  <ScaleCrop>false</ScaleCrop>
  <LinksUpToDate>false</LinksUpToDate>
  <CharactersWithSpaces>5058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2025-02-11T07:31:00Z</cp:lastPrinted>
  <dcterms:modified xsi:type="dcterms:W3CDTF">2025-05-12T05:22:12Z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667DDC45D27B4B68AEB5466D44A72FD0_13</vt:lpwstr>
  </property>
  <property fmtid="{D5CDD505-2E9C-101B-9397-08002B2CF9AE}" pid="4" name="KSOTemplateDocerSaveRecord">
    <vt:lpwstr>eyJoZGlkIjoiZGE4Nzg1MDJkY2JjNmYyNDI1Yzk4ODYzYjU2OTgxNWYifQ==</vt:lpwstr>
  </property>
</Properties>
</file>