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财政金融局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年共下达你部门经费支出预算16378.88万元，包括：工资福利和对个人家庭补助支出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925.75</w:t>
      </w:r>
      <w:r>
        <w:rPr>
          <w:rFonts w:hint="eastAsia" w:ascii="仿宋_GB2312" w:eastAsia="仿宋_GB2312"/>
          <w:sz w:val="32"/>
          <w:szCs w:val="32"/>
        </w:rPr>
        <w:t>万元，商品和服务支出1829.11万元</w:t>
      </w:r>
      <w:r>
        <w:rPr>
          <w:rFonts w:hint="eastAsia" w:ascii="仿宋_GB2312" w:eastAsia="仿宋_GB2312"/>
          <w:sz w:val="32"/>
          <w:szCs w:val="32"/>
          <w:lang w:eastAsia="zh-CN"/>
        </w:rPr>
        <w:t>，资本性支出190.46万元，对企业补助12789.56万元，其他支出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644万元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53068D1"/>
    <w:rsid w:val="278C389C"/>
    <w:rsid w:val="27F8683B"/>
    <w:rsid w:val="291A0031"/>
    <w:rsid w:val="296A3814"/>
    <w:rsid w:val="2A5266D7"/>
    <w:rsid w:val="2A9071FF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76402F7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B8F438D"/>
    <w:rsid w:val="6C580C23"/>
    <w:rsid w:val="6CF80043"/>
    <w:rsid w:val="6D0A662F"/>
    <w:rsid w:val="6F614293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275</Characters>
  <Lines>2</Lines>
  <Paragraphs>1</Paragraphs>
  <TotalTime>19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2025-05-12T05:51:19Z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