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48431">
      <w:pPr>
        <w:spacing w:line="560" w:lineRule="exact"/>
        <w:rPr>
          <w:rFonts w:ascii="仿宋_GB2312" w:eastAsia="仿宋_GB2312"/>
          <w:sz w:val="32"/>
          <w:szCs w:val="32"/>
        </w:rPr>
      </w:pPr>
    </w:p>
    <w:p w14:paraId="2E1A3892">
      <w:pPr>
        <w:widowControl/>
        <w:spacing w:line="560" w:lineRule="exact"/>
        <w:jc w:val="center"/>
        <w:rPr>
          <w:rFonts w:hint="eastAsia" w:ascii="方正小标宋简体" w:hAnsi="宋体" w:eastAsia="方正小标宋简体" w:cs="仿宋"/>
          <w:bCs/>
          <w:sz w:val="44"/>
          <w:szCs w:val="44"/>
        </w:rPr>
      </w:pPr>
      <w:r>
        <w:rPr>
          <w:rFonts w:hint="eastAsia" w:ascii="方正小标宋简体" w:hAnsi="宋体" w:eastAsia="方正小标宋简体" w:cs="仿宋"/>
          <w:bCs/>
          <w:sz w:val="44"/>
          <w:szCs w:val="44"/>
        </w:rPr>
        <w:t>大连高新技术产业园区投资促进局</w:t>
      </w:r>
    </w:p>
    <w:p w14:paraId="0297D5F7">
      <w:pPr>
        <w:widowControl/>
        <w:spacing w:line="560" w:lineRule="exact"/>
        <w:jc w:val="center"/>
        <w:rPr>
          <w:rFonts w:ascii="宋体" w:hAnsi="宋体"/>
          <w:b/>
          <w:bCs/>
          <w:sz w:val="36"/>
          <w:szCs w:val="36"/>
        </w:rPr>
      </w:pPr>
      <w:r>
        <w:rPr>
          <w:rFonts w:hint="eastAsia" w:ascii="方正小标宋简体" w:hAnsi="宋体" w:eastAsia="方正小标宋简体" w:cs="仿宋"/>
          <w:bCs/>
          <w:sz w:val="44"/>
          <w:szCs w:val="44"/>
        </w:rPr>
        <w:t>202</w:t>
      </w:r>
      <w:r>
        <w:rPr>
          <w:rFonts w:hint="eastAsia" w:ascii="方正小标宋简体" w:hAnsi="宋体" w:eastAsia="方正小标宋简体" w:cs="仿宋"/>
          <w:bCs/>
          <w:sz w:val="44"/>
          <w:szCs w:val="44"/>
          <w:lang w:val="en-US" w:eastAsia="zh-CN"/>
        </w:rPr>
        <w:t>4</w:t>
      </w:r>
      <w:r>
        <w:rPr>
          <w:rFonts w:hint="eastAsia" w:ascii="方正小标宋简体" w:hAnsi="宋体" w:eastAsia="方正小标宋简体" w:cs="仿宋"/>
          <w:bCs/>
          <w:color w:val="000000"/>
          <w:kern w:val="0"/>
          <w:sz w:val="44"/>
          <w:szCs w:val="44"/>
        </w:rPr>
        <w:t>年部门预算</w:t>
      </w:r>
    </w:p>
    <w:p w14:paraId="696859EF">
      <w:pPr>
        <w:widowControl/>
        <w:spacing w:line="560" w:lineRule="exac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62115B72">
      <w:pPr>
        <w:widowControl/>
        <w:spacing w:line="560" w:lineRule="exact"/>
        <w:ind w:firstLine="640" w:firstLineChars="200"/>
        <w:jc w:val="left"/>
        <w:rPr>
          <w:rFonts w:ascii="黑体" w:hAnsi="黑体" w:eastAsia="黑体" w:cs="仿宋"/>
          <w:color w:val="000000"/>
          <w:kern w:val="0"/>
          <w:sz w:val="32"/>
          <w:szCs w:val="32"/>
        </w:rPr>
      </w:pPr>
      <w:r>
        <w:rPr>
          <w:rFonts w:hint="eastAsia" w:ascii="黑体" w:hAnsi="黑体" w:eastAsia="黑体" w:cs="仿宋"/>
          <w:color w:val="000000"/>
          <w:kern w:val="0"/>
          <w:sz w:val="32"/>
          <w:szCs w:val="32"/>
        </w:rPr>
        <w:t>第一部分</w:t>
      </w:r>
      <w:r>
        <w:rPr>
          <w:rFonts w:ascii="黑体" w:hAnsi="黑体" w:eastAsia="黑体" w:cs="仿宋"/>
          <w:color w:val="000000"/>
          <w:kern w:val="0"/>
          <w:sz w:val="32"/>
          <w:szCs w:val="32"/>
        </w:rPr>
        <w:t xml:space="preserve"> </w:t>
      </w:r>
      <w:r>
        <w:rPr>
          <w:rFonts w:hint="eastAsia" w:ascii="黑体" w:hAnsi="黑体" w:eastAsia="黑体" w:cs="仿宋"/>
          <w:color w:val="000000"/>
          <w:kern w:val="0"/>
          <w:sz w:val="32"/>
          <w:szCs w:val="32"/>
        </w:rPr>
        <w:t>部门概况</w:t>
      </w:r>
    </w:p>
    <w:p w14:paraId="34F8DDDF">
      <w:pPr>
        <w:widowControl/>
        <w:numPr>
          <w:ilvl w:val="0"/>
          <w:numId w:val="1"/>
        </w:numPr>
        <w:spacing w:line="560" w:lineRule="exact"/>
        <w:ind w:left="567" w:leftChars="270" w:firstLine="0"/>
        <w:jc w:val="left"/>
        <w:rPr>
          <w:rFonts w:ascii="黑体" w:hAnsi="黑体" w:eastAsia="黑体" w:cs="仿宋"/>
          <w:color w:val="000000"/>
          <w:kern w:val="0"/>
          <w:sz w:val="32"/>
          <w:szCs w:val="32"/>
        </w:rPr>
      </w:pPr>
      <w:r>
        <w:rPr>
          <w:rFonts w:hint="eastAsia" w:ascii="黑体" w:hAnsi="黑体" w:eastAsia="黑体" w:cs="仿宋"/>
          <w:color w:val="000000"/>
          <w:kern w:val="0"/>
          <w:sz w:val="32"/>
          <w:szCs w:val="32"/>
        </w:rPr>
        <w:t>主要职责</w:t>
      </w:r>
    </w:p>
    <w:p w14:paraId="402C13F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贯彻落实国家、省、市关于对外开放、对内合作等方面的战略部署、方针政策和法律法规，以及高新区党工委、管委会的招商引资工作部署和要求，承接省、市各级政府下达给高新区管委会的各项招商引资任务指标，承担指导招商公司开展招商引资，以及统筹高新区对外开放、经贸合作、商业流通、外事管理、贸易促进等相关业务管理工作。</w:t>
      </w:r>
    </w:p>
    <w:p w14:paraId="4478DD0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负责汇总、分析全区招商引资工作总体清况及运行态势；综合研究、组织协调解决招商引资工作发展的重大问题，提出相关对策和建议；拟定全区招商引资工作年度指导性计划并组织实施；指导招商公司开展各项招商引资工作，包括但不限于拟订内资、外资招商计划，开展产业调研，拟订、兑现招商政策，组织招商活动，搭建招商网络，开拓项目资源，跟踪洽谈项目，签订项目协议，推进项目落地等，协调各级部门、各类资源指导协助招商公司完成各项招商引资任务指标，并对招商公司工作完成情况进行监督管理和绩效考核。</w:t>
      </w:r>
    </w:p>
    <w:p w14:paraId="3118253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负责高新区对外开放和经济合作相关工作。研究拟订高新区对内、对外开放和经济合作的发展战略，指导、协调、促进国际、国内省市之间的经济合作交流。规范对外开放经营秩序，组织、指导和管理企业对外开放，监测、分析对外开放经济运行情况，以及对外开放行政审批和外商投资企业事中事后监管等相关工作。</w:t>
      </w:r>
    </w:p>
    <w:p w14:paraId="0ECECE6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负责高新区外贸管理相关工作。推进高新区外贸进出口发展，指导协调企业开展外贸进出口业务；推进高新区电子商务与跨境电商产业发展；推进高新区服务贸易产业发展研究，推广新型贸易方式，全面推动国家数字服务出口基地建设；统计外贸进出口、跨境电商、服务贸易等运行数据，研究分析并监测其发展情况；执行外贸出口、服务贸易、跨境电商等各级奖励政策，开展政策兑现的审核和拨付工作。</w:t>
      </w:r>
    </w:p>
    <w:p w14:paraId="4096AD6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负责高新区商贸流通及市场运行管理相关工作。推进高新区商贸流通工作，组织、协调城乡商贸市场体系建设和发展；推进商贸流通领域对外开放工作；承担“菜篮子"工程建设以及 “老字号"等商贸品牌建设和保护工作。推进高新区市场运行管理工作，监测分析市场运行、商品供求状况，进行预测预警和信息引导；对旧货流通及商业特许经营、直销等进行监督管理。推进高新区整顿和规范市场经济秩序工作，推进行业信用建设、安全生产建设以及食品安全工作。指导商贸流通、市场运行方面的行政审批以及商务行政执法工作。</w:t>
      </w:r>
    </w:p>
    <w:p w14:paraId="2F3FFA2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负责高新区外事管理相关工作。起草高新区重要外事规定，拟订并组织实施外事工作管理制度；拟订全区因公出国（境）计划，归口管理全区因公出国及赴港澳手续办理等工作；组织召开高新区外事管理委员会会议；受理、指导全区外国人来华邀请函和商务旅行卡的申办、审核工作；协调我区重大外事、涉外活动及翻译相关工作，处理或协助市外办等相关部门处理重要的涉外事务等。</w:t>
      </w:r>
    </w:p>
    <w:p w14:paraId="4472D09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负责指导协调高新区贸促会、对外友好协会、行业协会、企业商会等经济贸易促进组织机构的相关工作，为企业提供优质专业服务。负责政府指令性展览会议、经贸会议、培训活动的企业组织及布展会务等相关工作。负责建立政府、社会机构与企业间的联动服务机制，考察、走访和调研企业，为企业提供专业化服务，协调解决企业运营中存在的问题。</w:t>
      </w:r>
    </w:p>
    <w:p w14:paraId="4D89CCB1">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负责完成区党工委、管委会交办的其他任务。</w:t>
      </w:r>
    </w:p>
    <w:p w14:paraId="2ED2845D">
      <w:pPr>
        <w:widowControl/>
        <w:spacing w:line="560" w:lineRule="exact"/>
        <w:ind w:firstLine="640" w:firstLineChars="200"/>
        <w:jc w:val="left"/>
        <w:rPr>
          <w:rFonts w:ascii="黑体" w:hAnsi="黑体" w:eastAsia="黑体" w:cs="仿宋"/>
          <w:color w:val="000000"/>
          <w:kern w:val="0"/>
          <w:sz w:val="32"/>
          <w:szCs w:val="32"/>
        </w:rPr>
      </w:pPr>
      <w:r>
        <w:rPr>
          <w:rFonts w:hint="eastAsia" w:ascii="黑体" w:hAnsi="黑体" w:eastAsia="黑体" w:cs="仿宋"/>
          <w:color w:val="000000"/>
          <w:kern w:val="0"/>
          <w:sz w:val="32"/>
          <w:szCs w:val="32"/>
        </w:rPr>
        <w:t>二、部门预算单位构成</w:t>
      </w:r>
    </w:p>
    <w:p w14:paraId="6D0A4FCF">
      <w:pPr>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按照综合预算的原则，本部门所有收入和支出均纳入部门预算管理，本部门中，行政单位1家，事业单位1家，具体包括：大连高新技术产业园区投资促进局（本级），大连高新技术产业园区投资促进服务中心。</w:t>
      </w:r>
    </w:p>
    <w:p w14:paraId="4098DDC4">
      <w:pPr>
        <w:ind w:firstLine="640" w:firstLineChars="200"/>
        <w:rPr>
          <w:rFonts w:hint="eastAsia" w:ascii="仿宋" w:hAnsi="仿宋" w:eastAsia="仿宋" w:cs="仿宋"/>
          <w:sz w:val="32"/>
          <w:szCs w:val="32"/>
        </w:rPr>
      </w:pPr>
    </w:p>
    <w:p w14:paraId="33A69D45">
      <w:pPr>
        <w:widowControl/>
        <w:spacing w:line="560" w:lineRule="exact"/>
        <w:ind w:firstLine="640" w:firstLineChars="200"/>
        <w:jc w:val="left"/>
        <w:rPr>
          <w:rFonts w:ascii="黑体" w:hAnsi="黑体" w:eastAsia="黑体" w:cs="仿宋"/>
          <w:color w:val="000000"/>
          <w:kern w:val="0"/>
          <w:sz w:val="32"/>
          <w:szCs w:val="32"/>
        </w:rPr>
      </w:pPr>
      <w:r>
        <w:rPr>
          <w:rFonts w:hint="eastAsia" w:ascii="黑体" w:hAnsi="黑体" w:eastAsia="黑体" w:cs="仿宋"/>
          <w:color w:val="000000"/>
          <w:kern w:val="0"/>
          <w:sz w:val="32"/>
          <w:szCs w:val="32"/>
        </w:rPr>
        <w:t>第二部分</w:t>
      </w:r>
      <w:r>
        <w:rPr>
          <w:rFonts w:ascii="黑体" w:hAnsi="黑体" w:eastAsia="黑体" w:cs="仿宋"/>
          <w:color w:val="000000"/>
          <w:kern w:val="0"/>
          <w:sz w:val="32"/>
          <w:szCs w:val="32"/>
        </w:rPr>
        <w:t xml:space="preserve"> </w:t>
      </w:r>
      <w:r>
        <w:rPr>
          <w:rFonts w:hint="eastAsia" w:ascii="黑体" w:hAnsi="黑体" w:eastAsia="黑体" w:cs="仿宋"/>
          <w:color w:val="000000"/>
          <w:kern w:val="0"/>
          <w:sz w:val="32"/>
          <w:szCs w:val="32"/>
        </w:rPr>
        <w:t>部门预算情况说明</w:t>
      </w:r>
    </w:p>
    <w:p w14:paraId="0EAABCCE">
      <w:pPr>
        <w:widowControl/>
        <w:spacing w:line="560" w:lineRule="exact"/>
        <w:ind w:firstLine="640" w:firstLineChars="200"/>
        <w:jc w:val="left"/>
        <w:rPr>
          <w:rFonts w:ascii="仿宋" w:hAnsi="仿宋" w:eastAsia="仿宋"/>
          <w:sz w:val="32"/>
          <w:szCs w:val="32"/>
        </w:rPr>
      </w:pPr>
      <w:r>
        <w:rPr>
          <w:rFonts w:hint="eastAsia" w:ascii="黑体" w:hAnsi="黑体" w:eastAsia="黑体" w:cs="仿宋"/>
          <w:color w:val="000000"/>
          <w:kern w:val="0"/>
          <w:sz w:val="32"/>
          <w:szCs w:val="32"/>
        </w:rPr>
        <w:t>一、总体说明</w:t>
      </w:r>
    </w:p>
    <w:p w14:paraId="11EF22C4">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按照综合预算的原则，本部门所有收入和支出均纳入部门预算管理。收入包括：财政拨款收入</w:t>
      </w:r>
      <w:r>
        <w:rPr>
          <w:rFonts w:hint="eastAsia" w:ascii="仿宋_GB2312" w:eastAsia="仿宋_GB2312"/>
          <w:sz w:val="32"/>
          <w:szCs w:val="32"/>
          <w:lang w:val="en-US" w:eastAsia="zh-CN"/>
        </w:rPr>
        <w:t>17325.39</w:t>
      </w:r>
      <w:r>
        <w:rPr>
          <w:rFonts w:hint="eastAsia" w:ascii="仿宋" w:hAnsi="仿宋" w:eastAsia="仿宋" w:cs="仿宋"/>
          <w:kern w:val="0"/>
          <w:sz w:val="32"/>
          <w:szCs w:val="32"/>
        </w:rPr>
        <w:t>万元，其中包括一般公共预算拨款收入</w:t>
      </w:r>
      <w:r>
        <w:rPr>
          <w:rFonts w:hint="eastAsia" w:ascii="仿宋_GB2312" w:eastAsia="仿宋_GB2312"/>
          <w:sz w:val="32"/>
          <w:szCs w:val="32"/>
          <w:lang w:val="en-US" w:eastAsia="zh-CN"/>
        </w:rPr>
        <w:t>17325.39</w:t>
      </w:r>
      <w:r>
        <w:rPr>
          <w:rFonts w:hint="eastAsia" w:ascii="仿宋" w:hAnsi="仿宋" w:eastAsia="仿宋" w:cs="仿宋"/>
          <w:kern w:val="0"/>
          <w:sz w:val="32"/>
          <w:szCs w:val="32"/>
        </w:rPr>
        <w:t>万元，上年结转结余</w:t>
      </w:r>
      <w:r>
        <w:rPr>
          <w:rFonts w:hint="eastAsia" w:ascii="仿宋" w:hAnsi="仿宋" w:eastAsia="仿宋" w:cs="仿宋"/>
          <w:kern w:val="0"/>
          <w:sz w:val="32"/>
          <w:szCs w:val="32"/>
          <w:lang w:val="en-US" w:eastAsia="zh-CN"/>
        </w:rPr>
        <w:t>113</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万元；支出包括：</w:t>
      </w:r>
      <w:r>
        <w:rPr>
          <w:rFonts w:hint="eastAsia" w:ascii="仿宋" w:hAnsi="仿宋" w:eastAsia="仿宋" w:cs="仿宋"/>
          <w:kern w:val="0"/>
          <w:sz w:val="32"/>
          <w:szCs w:val="32"/>
          <w:lang w:eastAsia="zh-CN"/>
        </w:rPr>
        <w:t>基本支出</w:t>
      </w:r>
      <w:r>
        <w:rPr>
          <w:rFonts w:hint="eastAsia" w:ascii="仿宋" w:hAnsi="仿宋" w:eastAsia="仿宋" w:cs="仿宋"/>
          <w:kern w:val="0"/>
          <w:sz w:val="32"/>
          <w:szCs w:val="32"/>
          <w:lang w:val="en-US" w:eastAsia="zh-CN"/>
        </w:rPr>
        <w:t>560.4万元，其中</w:t>
      </w:r>
      <w:r>
        <w:rPr>
          <w:rFonts w:hint="eastAsia" w:ascii="仿宋" w:hAnsi="仿宋" w:eastAsia="仿宋" w:cs="仿宋"/>
          <w:kern w:val="0"/>
          <w:sz w:val="32"/>
          <w:szCs w:val="32"/>
          <w:lang w:eastAsia="zh-CN"/>
        </w:rPr>
        <w:t>人员经费</w:t>
      </w: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88</w:t>
      </w:r>
      <w:r>
        <w:rPr>
          <w:rFonts w:hint="eastAsia" w:ascii="仿宋" w:hAnsi="仿宋" w:eastAsia="仿宋" w:cs="仿宋"/>
          <w:kern w:val="0"/>
          <w:sz w:val="32"/>
          <w:szCs w:val="32"/>
        </w:rPr>
        <w:t>万元，公用经费</w:t>
      </w:r>
      <w:r>
        <w:rPr>
          <w:rFonts w:hint="eastAsia" w:ascii="仿宋" w:hAnsi="仿宋" w:eastAsia="仿宋" w:cs="仿宋"/>
          <w:kern w:val="0"/>
          <w:sz w:val="32"/>
          <w:szCs w:val="32"/>
          <w:lang w:val="en-US" w:eastAsia="zh-CN"/>
        </w:rPr>
        <w:t>16.52</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w:t>
      </w:r>
      <w:r>
        <w:rPr>
          <w:rFonts w:hint="eastAsia" w:ascii="仿宋" w:hAnsi="仿宋" w:eastAsia="仿宋" w:cs="仿宋"/>
          <w:sz w:val="32"/>
          <w:szCs w:val="32"/>
          <w:lang w:val="en-US" w:eastAsia="zh-CN"/>
        </w:rPr>
        <w:t>项目支出16878</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r>
        <w:rPr>
          <w:rFonts w:hint="eastAsia" w:ascii="仿宋" w:hAnsi="仿宋" w:eastAsia="仿宋" w:cs="仿宋"/>
          <w:kern w:val="0"/>
          <w:sz w:val="32"/>
          <w:szCs w:val="32"/>
        </w:rPr>
        <w:t>全部为一般公共预算收支，无政府性基金预算收支，无国有资本经营预算收支。</w:t>
      </w:r>
    </w:p>
    <w:p w14:paraId="6C62A7E3">
      <w:pPr>
        <w:widowControl/>
        <w:spacing w:line="560" w:lineRule="exact"/>
        <w:ind w:firstLine="640" w:firstLineChars="200"/>
        <w:jc w:val="left"/>
        <w:rPr>
          <w:rFonts w:ascii="仿宋" w:hAnsi="仿宋" w:eastAsia="仿宋"/>
          <w:sz w:val="32"/>
          <w:szCs w:val="32"/>
        </w:rPr>
      </w:pPr>
      <w:r>
        <w:rPr>
          <w:rFonts w:hint="eastAsia" w:ascii="黑体" w:hAnsi="黑体" w:eastAsia="黑体" w:cs="仿宋"/>
          <w:color w:val="000000"/>
          <w:kern w:val="0"/>
          <w:sz w:val="32"/>
          <w:szCs w:val="32"/>
        </w:rPr>
        <w:t>二、“三公”经费预算情况说明</w:t>
      </w:r>
    </w:p>
    <w:p w14:paraId="3A27B713">
      <w:pPr>
        <w:spacing w:line="560" w:lineRule="exact"/>
        <w:ind w:firstLine="640" w:firstLineChars="200"/>
        <w:rPr>
          <w:rFonts w:ascii="仿宋" w:hAnsi="仿宋" w:eastAsia="仿宋" w:cs="仿宋"/>
          <w:sz w:val="32"/>
          <w:szCs w:val="32"/>
        </w:rPr>
      </w:pPr>
      <w:r>
        <w:rPr>
          <w:rFonts w:hint="eastAsia" w:ascii="仿宋" w:hAnsi="仿宋" w:eastAsia="仿宋"/>
          <w:sz w:val="32"/>
          <w:szCs w:val="32"/>
        </w:rPr>
        <w:t>“三公”经费包括</w:t>
      </w:r>
      <w:r>
        <w:rPr>
          <w:rFonts w:hint="eastAsia" w:ascii="仿宋" w:hAnsi="仿宋" w:eastAsia="仿宋" w:cs="仿宋"/>
          <w:color w:val="000000"/>
          <w:kern w:val="0"/>
          <w:sz w:val="32"/>
          <w:szCs w:val="32"/>
        </w:rPr>
        <w:t>因公出国招商引资经费17</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万元</w:t>
      </w:r>
      <w:r>
        <w:rPr>
          <w:rFonts w:hint="eastAsia" w:ascii="仿宋" w:hAnsi="仿宋" w:eastAsia="仿宋" w:cs="仿宋"/>
          <w:sz w:val="32"/>
          <w:szCs w:val="32"/>
        </w:rPr>
        <w:t>。</w:t>
      </w:r>
    </w:p>
    <w:p w14:paraId="52FF9ADA">
      <w:pPr>
        <w:widowControl/>
        <w:spacing w:line="560" w:lineRule="exact"/>
        <w:ind w:firstLine="640" w:firstLineChars="200"/>
        <w:jc w:val="left"/>
        <w:rPr>
          <w:rFonts w:ascii="仿宋" w:hAnsi="仿宋" w:eastAsia="仿宋"/>
          <w:sz w:val="32"/>
          <w:szCs w:val="32"/>
        </w:rPr>
      </w:pPr>
      <w:r>
        <w:rPr>
          <w:rFonts w:hint="eastAsia" w:ascii="黑体" w:hAnsi="黑体" w:eastAsia="黑体" w:cs="仿宋"/>
          <w:color w:val="000000"/>
          <w:kern w:val="0"/>
          <w:sz w:val="32"/>
          <w:szCs w:val="32"/>
        </w:rPr>
        <w:t>三、机关运行经费安排情况说明</w:t>
      </w:r>
    </w:p>
    <w:p w14:paraId="286F068B">
      <w:pPr>
        <w:widowControl/>
        <w:spacing w:line="560" w:lineRule="exact"/>
        <w:ind w:firstLine="640" w:firstLineChars="200"/>
        <w:jc w:val="left"/>
        <w:rPr>
          <w:rFonts w:ascii="仿宋" w:hAnsi="仿宋" w:eastAsia="仿宋"/>
          <w:sz w:val="32"/>
          <w:szCs w:val="32"/>
        </w:rPr>
      </w:pPr>
      <w:r>
        <w:rPr>
          <w:rFonts w:hint="eastAsia" w:ascii="仿宋" w:hAnsi="仿宋" w:eastAsia="仿宋" w:cs="仿宋"/>
          <w:kern w:val="0"/>
          <w:sz w:val="32"/>
          <w:szCs w:val="32"/>
        </w:rPr>
        <w:t>机关运行经费包括定额公用经费1</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2万元。</w:t>
      </w:r>
    </w:p>
    <w:p w14:paraId="7AB54433">
      <w:pPr>
        <w:widowControl/>
        <w:spacing w:line="560" w:lineRule="exact"/>
        <w:ind w:firstLine="640" w:firstLineChars="200"/>
        <w:jc w:val="left"/>
        <w:rPr>
          <w:rFonts w:ascii="仿宋" w:hAnsi="仿宋" w:eastAsia="仿宋"/>
          <w:sz w:val="32"/>
          <w:szCs w:val="32"/>
        </w:rPr>
      </w:pPr>
      <w:r>
        <w:rPr>
          <w:rFonts w:hint="eastAsia" w:ascii="黑体" w:hAnsi="黑体" w:eastAsia="黑体" w:cs="仿宋"/>
          <w:color w:val="000000"/>
          <w:kern w:val="0"/>
          <w:sz w:val="32"/>
          <w:szCs w:val="32"/>
        </w:rPr>
        <w:t>四、政府采购情况说明</w:t>
      </w:r>
    </w:p>
    <w:p w14:paraId="77BB8B82">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政府采购项目</w:t>
      </w: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项，合计11</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万元。</w:t>
      </w:r>
    </w:p>
    <w:p w14:paraId="620AA66B">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海创招商公司工作业务经费”1100万元：为进一步深化高新区招商引资工作体制机制改革，依据高新区管委会工作安排，通过公开政府采购方式，委托海创招商服务有限公司围绕高新区重点产业方向，提供产业研究、招商资源对接、招商活动组织、招商项目引进、企业投资服务等相关招商服务工作，形成招商引资运行管理合力，招引洽谈投资规模大、科技水平高、产业带动力强、前景较好的重点项目，做大高新区经济体量，助力高新区产业高质量发展。</w:t>
      </w:r>
    </w:p>
    <w:p w14:paraId="2E3D9C96">
      <w:pPr>
        <w:widowControl/>
        <w:spacing w:line="560" w:lineRule="exact"/>
        <w:ind w:firstLine="640" w:firstLineChars="200"/>
        <w:jc w:val="left"/>
        <w:rPr>
          <w:rFonts w:ascii="仿宋" w:hAnsi="仿宋" w:eastAsia="仿宋" w:cs="仿宋"/>
          <w:kern w:val="0"/>
          <w:sz w:val="32"/>
          <w:szCs w:val="32"/>
        </w:rPr>
      </w:pPr>
      <w:r>
        <w:rPr>
          <w:rFonts w:hint="eastAsia" w:ascii="黑体" w:hAnsi="黑体" w:eastAsia="黑体" w:cs="仿宋"/>
          <w:color w:val="000000"/>
          <w:kern w:val="0"/>
          <w:sz w:val="32"/>
          <w:szCs w:val="32"/>
        </w:rPr>
        <w:t>五、政府性基金收支预算情况</w:t>
      </w:r>
    </w:p>
    <w:p w14:paraId="08A201D8">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无政府性基金预算收支。</w:t>
      </w:r>
    </w:p>
    <w:p w14:paraId="3A90E4B2">
      <w:pPr>
        <w:widowControl/>
        <w:spacing w:line="560" w:lineRule="exact"/>
        <w:ind w:firstLine="640" w:firstLineChars="200"/>
        <w:jc w:val="left"/>
        <w:rPr>
          <w:rFonts w:ascii="仿宋" w:hAnsi="仿宋" w:eastAsia="仿宋"/>
          <w:sz w:val="32"/>
          <w:szCs w:val="32"/>
          <w:highlight w:val="none"/>
        </w:rPr>
      </w:pPr>
      <w:r>
        <w:rPr>
          <w:rFonts w:hint="eastAsia" w:ascii="黑体" w:hAnsi="黑体" w:eastAsia="黑体" w:cs="仿宋"/>
          <w:color w:val="000000"/>
          <w:kern w:val="0"/>
          <w:sz w:val="32"/>
          <w:szCs w:val="32"/>
          <w:highlight w:val="none"/>
        </w:rPr>
        <w:t>六、国有资产占有使用情况说明</w:t>
      </w:r>
    </w:p>
    <w:p w14:paraId="70048F72">
      <w:pPr>
        <w:widowControl/>
        <w:spacing w:line="560" w:lineRule="exact"/>
        <w:ind w:firstLine="640" w:firstLineChars="20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rPr>
        <w:t>国有资产占有使用情况说明为：截至202</w:t>
      </w: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rPr>
        <w:t>年12月31日，部门（单位）共有车辆0辆；单位价值50万元（含）以上通用设备0台（套）；单位价值100万元以上专用设备0台（套）。</w:t>
      </w:r>
    </w:p>
    <w:p w14:paraId="35DF6873">
      <w:pPr>
        <w:widowControl/>
        <w:spacing w:line="560" w:lineRule="exact"/>
        <w:ind w:firstLine="640" w:firstLineChars="200"/>
        <w:jc w:val="left"/>
        <w:rPr>
          <w:rFonts w:ascii="仿宋" w:hAnsi="仿宋" w:eastAsia="仿宋" w:cs="仿宋"/>
          <w:kern w:val="0"/>
          <w:sz w:val="32"/>
          <w:szCs w:val="32"/>
        </w:rPr>
      </w:pPr>
      <w:r>
        <w:rPr>
          <w:rFonts w:hint="eastAsia" w:ascii="黑体" w:hAnsi="黑体" w:eastAsia="黑体" w:cs="仿宋"/>
          <w:color w:val="000000"/>
          <w:kern w:val="0"/>
          <w:sz w:val="32"/>
          <w:szCs w:val="32"/>
        </w:rPr>
        <w:t>七、预算绩效管理情况</w:t>
      </w:r>
    </w:p>
    <w:p w14:paraId="08853519">
      <w:pPr>
        <w:widowControl/>
        <w:spacing w:line="560" w:lineRule="exact"/>
        <w:ind w:firstLine="640" w:firstLineChars="200"/>
        <w:jc w:val="left"/>
        <w:rPr>
          <w:rFonts w:ascii="仿宋" w:hAnsi="仿宋" w:eastAsia="仿宋" w:cs="仿宋"/>
          <w:kern w:val="0"/>
          <w:sz w:val="32"/>
          <w:szCs w:val="32"/>
        </w:rPr>
      </w:pPr>
      <w:r>
        <w:rPr>
          <w:rFonts w:ascii="仿宋" w:hAnsi="仿宋" w:eastAsia="仿宋" w:cs="仿宋"/>
          <w:kern w:val="0"/>
          <w:sz w:val="32"/>
          <w:szCs w:val="32"/>
        </w:rPr>
        <w:t>20</w:t>
      </w: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年，按照“先有绩效，后有预算”原则，本部门共计编制绩效目标</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个，预算金额</w:t>
      </w:r>
      <w:r>
        <w:rPr>
          <w:rFonts w:hint="eastAsia" w:ascii="仿宋" w:hAnsi="仿宋" w:eastAsia="仿宋" w:cs="仿宋"/>
          <w:kern w:val="0"/>
          <w:sz w:val="32"/>
          <w:szCs w:val="32"/>
          <w:lang w:val="en-US" w:eastAsia="zh-CN"/>
        </w:rPr>
        <w:t>16878</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万元，占本级预算项目支出比重</w:t>
      </w:r>
      <w:r>
        <w:rPr>
          <w:rFonts w:ascii="仿宋" w:hAnsi="仿宋" w:eastAsia="仿宋" w:cs="仿宋"/>
          <w:kern w:val="0"/>
          <w:sz w:val="32"/>
          <w:szCs w:val="32"/>
        </w:rPr>
        <w:t>100%</w:t>
      </w:r>
      <w:r>
        <w:rPr>
          <w:rFonts w:hint="eastAsia" w:ascii="仿宋" w:hAnsi="仿宋" w:eastAsia="仿宋" w:cs="仿宋"/>
          <w:kern w:val="0"/>
          <w:sz w:val="32"/>
          <w:szCs w:val="32"/>
        </w:rPr>
        <w:t>。</w:t>
      </w:r>
    </w:p>
    <w:p w14:paraId="1B90A03A">
      <w:pPr>
        <w:widowControl/>
        <w:spacing w:line="560" w:lineRule="exact"/>
        <w:ind w:firstLine="640" w:firstLineChars="200"/>
        <w:jc w:val="left"/>
        <w:rPr>
          <w:rFonts w:ascii="仿宋" w:hAnsi="仿宋" w:eastAsia="仿宋" w:cs="仿宋"/>
          <w:color w:val="000000"/>
          <w:kern w:val="0"/>
          <w:sz w:val="32"/>
          <w:szCs w:val="32"/>
        </w:rPr>
      </w:pPr>
      <w:r>
        <w:rPr>
          <w:rFonts w:hint="eastAsia" w:ascii="黑体" w:hAnsi="黑体" w:eastAsia="黑体" w:cs="仿宋"/>
          <w:color w:val="000000"/>
          <w:kern w:val="0"/>
          <w:sz w:val="32"/>
          <w:szCs w:val="32"/>
        </w:rPr>
        <w:t>八、因公出国招商引资经费项目</w:t>
      </w:r>
    </w:p>
    <w:p w14:paraId="5A9A72A7">
      <w:pPr>
        <w:widowControl/>
        <w:spacing w:line="560" w:lineRule="exact"/>
        <w:ind w:firstLine="640" w:firstLineChars="200"/>
        <w:jc w:val="left"/>
        <w:rPr>
          <w:rFonts w:ascii="楷体" w:hAnsi="楷体" w:eastAsia="楷体" w:cs="仿宋"/>
          <w:color w:val="000000"/>
          <w:kern w:val="0"/>
          <w:sz w:val="32"/>
          <w:szCs w:val="32"/>
        </w:rPr>
      </w:pPr>
      <w:r>
        <w:rPr>
          <w:rFonts w:hint="eastAsia" w:ascii="楷体" w:hAnsi="楷体" w:eastAsia="楷体" w:cs="仿宋"/>
          <w:color w:val="000000"/>
          <w:kern w:val="0"/>
          <w:sz w:val="32"/>
          <w:szCs w:val="32"/>
        </w:rPr>
        <w:t>1.项目概述</w:t>
      </w:r>
    </w:p>
    <w:p w14:paraId="619A19D2">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委领导带队出访海外。更好的促进大连市高新区和海外在经贸上的合作，为外资企业的稳定发展提供更好的渠道和平台，从而促进产业经济国际化合作，助力外资和外贸指标的实现。</w:t>
      </w:r>
    </w:p>
    <w:p w14:paraId="4E90399C">
      <w:pPr>
        <w:widowControl/>
        <w:spacing w:line="560" w:lineRule="exact"/>
        <w:ind w:firstLine="640" w:firstLineChars="200"/>
        <w:jc w:val="left"/>
        <w:rPr>
          <w:rFonts w:ascii="仿宋" w:hAnsi="仿宋" w:eastAsia="仿宋" w:cs="仿宋"/>
          <w:color w:val="000000"/>
          <w:kern w:val="0"/>
          <w:sz w:val="32"/>
          <w:szCs w:val="32"/>
        </w:rPr>
      </w:pPr>
      <w:r>
        <w:rPr>
          <w:rFonts w:hint="eastAsia" w:ascii="楷体" w:hAnsi="楷体" w:eastAsia="楷体" w:cs="仿宋"/>
          <w:color w:val="000000"/>
          <w:kern w:val="0"/>
          <w:sz w:val="32"/>
          <w:szCs w:val="32"/>
        </w:rPr>
        <w:t>2.立项依据</w:t>
      </w:r>
    </w:p>
    <w:p w14:paraId="2241A704">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市委、市政府以及市商务局的外事工作安排。</w:t>
      </w:r>
    </w:p>
    <w:p w14:paraId="0DA909EE">
      <w:pPr>
        <w:widowControl/>
        <w:spacing w:line="560" w:lineRule="exact"/>
        <w:ind w:firstLine="640" w:firstLineChars="200"/>
        <w:jc w:val="left"/>
        <w:rPr>
          <w:rFonts w:ascii="仿宋" w:hAnsi="仿宋" w:eastAsia="仿宋" w:cs="仿宋"/>
          <w:color w:val="000000"/>
          <w:kern w:val="0"/>
          <w:sz w:val="32"/>
          <w:szCs w:val="32"/>
        </w:rPr>
      </w:pPr>
      <w:r>
        <w:rPr>
          <w:rFonts w:hint="eastAsia" w:ascii="楷体" w:hAnsi="楷体" w:eastAsia="楷体" w:cs="仿宋"/>
          <w:color w:val="000000"/>
          <w:kern w:val="0"/>
          <w:sz w:val="32"/>
          <w:szCs w:val="32"/>
        </w:rPr>
        <w:t>3.实施主体</w:t>
      </w:r>
    </w:p>
    <w:p w14:paraId="13916D8A">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sz w:val="32"/>
          <w:szCs w:val="32"/>
        </w:rPr>
        <w:t>大连高新技术产业园区投资促进局</w:t>
      </w:r>
      <w:r>
        <w:rPr>
          <w:rFonts w:hint="eastAsia" w:ascii="仿宋" w:hAnsi="仿宋" w:eastAsia="仿宋" w:cs="仿宋"/>
          <w:color w:val="000000"/>
          <w:kern w:val="0"/>
          <w:sz w:val="32"/>
          <w:szCs w:val="32"/>
        </w:rPr>
        <w:t>。</w:t>
      </w:r>
    </w:p>
    <w:p w14:paraId="25734099">
      <w:pPr>
        <w:widowControl/>
        <w:spacing w:line="560" w:lineRule="exact"/>
        <w:ind w:firstLine="640" w:firstLineChars="200"/>
        <w:jc w:val="left"/>
        <w:rPr>
          <w:rFonts w:ascii="仿宋" w:hAnsi="仿宋" w:eastAsia="仿宋" w:cs="仿宋"/>
          <w:color w:val="000000"/>
          <w:kern w:val="0"/>
          <w:sz w:val="32"/>
          <w:szCs w:val="32"/>
        </w:rPr>
      </w:pPr>
      <w:r>
        <w:rPr>
          <w:rFonts w:hint="eastAsia" w:ascii="楷体" w:hAnsi="楷体" w:eastAsia="楷体" w:cs="仿宋"/>
          <w:color w:val="000000"/>
          <w:kern w:val="0"/>
          <w:sz w:val="32"/>
          <w:szCs w:val="32"/>
        </w:rPr>
        <w:t>4.实施方案</w:t>
      </w:r>
    </w:p>
    <w:p w14:paraId="173B0DE6">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根据市委、市政府以及市商务局的外事工作安排、高新区党工委和管委会的全年的工作部署安排，拟定出访目的地、组团成员以及经费预算；向市委、市政府正式报文。获批后，赴相应国家使馆办理签证手续；按任务件的时间进行出访；回程后，第一时间将团组成员护照回收，并按期将出访总结、绩效考评表等文件上报市外办留存备查。</w:t>
      </w:r>
    </w:p>
    <w:p w14:paraId="26105E49">
      <w:pPr>
        <w:widowControl/>
        <w:spacing w:line="560" w:lineRule="exact"/>
        <w:ind w:firstLine="640" w:firstLineChars="200"/>
        <w:jc w:val="left"/>
        <w:rPr>
          <w:rFonts w:ascii="仿宋" w:hAnsi="仿宋" w:eastAsia="仿宋" w:cs="仿宋"/>
          <w:color w:val="000000"/>
          <w:kern w:val="0"/>
          <w:sz w:val="32"/>
          <w:szCs w:val="32"/>
        </w:rPr>
      </w:pPr>
      <w:r>
        <w:rPr>
          <w:rFonts w:hint="eastAsia" w:ascii="楷体" w:hAnsi="楷体" w:eastAsia="楷体" w:cs="仿宋"/>
          <w:color w:val="000000"/>
          <w:kern w:val="0"/>
          <w:sz w:val="32"/>
          <w:szCs w:val="32"/>
        </w:rPr>
        <w:t>5.实施周期</w:t>
      </w:r>
    </w:p>
    <w:p w14:paraId="7B02FC4F">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年全年。</w:t>
      </w:r>
    </w:p>
    <w:p w14:paraId="6672F0AC">
      <w:pPr>
        <w:widowControl/>
        <w:spacing w:line="560" w:lineRule="exact"/>
        <w:ind w:firstLine="640" w:firstLineChars="200"/>
        <w:jc w:val="left"/>
        <w:rPr>
          <w:rFonts w:ascii="仿宋" w:hAnsi="仿宋" w:eastAsia="仿宋" w:cs="仿宋"/>
          <w:color w:val="000000"/>
          <w:kern w:val="0"/>
          <w:sz w:val="32"/>
          <w:szCs w:val="32"/>
        </w:rPr>
      </w:pPr>
      <w:r>
        <w:rPr>
          <w:rFonts w:hint="eastAsia" w:ascii="楷体" w:hAnsi="楷体" w:eastAsia="楷体" w:cs="仿宋"/>
          <w:color w:val="000000"/>
          <w:kern w:val="0"/>
          <w:sz w:val="32"/>
          <w:szCs w:val="32"/>
        </w:rPr>
        <w:t>6.年度预算安排</w:t>
      </w:r>
    </w:p>
    <w:p w14:paraId="37DFED46">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17</w:t>
      </w:r>
      <w:r>
        <w:rPr>
          <w:rFonts w:hint="eastAsia" w:ascii="仿宋" w:hAnsi="仿宋" w:eastAsia="仿宋" w:cs="仿宋"/>
          <w:color w:val="000000"/>
          <w:kern w:val="0"/>
          <w:sz w:val="32"/>
          <w:szCs w:val="32"/>
          <w:lang w:val="en-US" w:eastAsia="zh-CN"/>
        </w:rPr>
        <w:t>6</w:t>
      </w:r>
      <w:bookmarkStart w:id="0" w:name="_GoBack"/>
      <w:bookmarkEnd w:id="0"/>
      <w:r>
        <w:rPr>
          <w:rFonts w:hint="eastAsia" w:ascii="仿宋" w:hAnsi="仿宋" w:eastAsia="仿宋" w:cs="仿宋"/>
          <w:color w:val="000000"/>
          <w:kern w:val="0"/>
          <w:sz w:val="32"/>
          <w:szCs w:val="32"/>
        </w:rPr>
        <w:t>万元。</w:t>
      </w:r>
    </w:p>
    <w:p w14:paraId="68FB8C0F">
      <w:pPr>
        <w:widowControl/>
        <w:spacing w:line="560" w:lineRule="exact"/>
        <w:ind w:firstLine="200"/>
        <w:jc w:val="left"/>
        <w:rPr>
          <w:rFonts w:ascii="仿宋" w:hAnsi="仿宋" w:eastAsia="仿宋" w:cs="仿宋"/>
          <w:color w:val="000000"/>
          <w:kern w:val="0"/>
          <w:sz w:val="32"/>
          <w:szCs w:val="32"/>
        </w:rPr>
      </w:pPr>
    </w:p>
    <w:p w14:paraId="31050F8B">
      <w:pPr>
        <w:widowControl/>
        <w:spacing w:line="560" w:lineRule="exact"/>
        <w:ind w:firstLine="640" w:firstLineChars="200"/>
        <w:jc w:val="left"/>
        <w:rPr>
          <w:rFonts w:ascii="仿宋" w:hAnsi="仿宋" w:eastAsia="仿宋" w:cs="仿宋"/>
          <w:color w:val="000000"/>
          <w:kern w:val="0"/>
          <w:sz w:val="32"/>
          <w:szCs w:val="32"/>
        </w:rPr>
      </w:pPr>
      <w:r>
        <w:rPr>
          <w:rFonts w:hint="eastAsia" w:ascii="黑体" w:hAnsi="黑体" w:eastAsia="黑体" w:cs="仿宋"/>
          <w:color w:val="000000"/>
          <w:kern w:val="0"/>
          <w:sz w:val="32"/>
          <w:szCs w:val="32"/>
        </w:rPr>
        <w:t>第三部分</w:t>
      </w:r>
      <w:r>
        <w:rPr>
          <w:rFonts w:ascii="黑体" w:hAnsi="黑体" w:eastAsia="黑体" w:cs="仿宋"/>
          <w:color w:val="000000"/>
          <w:kern w:val="0"/>
          <w:sz w:val="32"/>
          <w:szCs w:val="32"/>
        </w:rPr>
        <w:t xml:space="preserve"> </w:t>
      </w:r>
      <w:r>
        <w:rPr>
          <w:rFonts w:hint="eastAsia" w:ascii="黑体" w:hAnsi="黑体" w:eastAsia="黑体" w:cs="仿宋"/>
          <w:color w:val="000000"/>
          <w:kern w:val="0"/>
          <w:sz w:val="32"/>
          <w:szCs w:val="32"/>
        </w:rPr>
        <w:t>名词解释</w:t>
      </w:r>
    </w:p>
    <w:p w14:paraId="0C787431">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财政拨款收入：指市财政当年拨付的资金。</w:t>
      </w:r>
      <w:r>
        <w:rPr>
          <w:rFonts w:ascii="仿宋" w:hAnsi="仿宋" w:eastAsia="仿宋" w:cs="仿宋"/>
          <w:color w:val="000000"/>
          <w:kern w:val="0"/>
          <w:sz w:val="32"/>
          <w:szCs w:val="32"/>
        </w:rPr>
        <w:t xml:space="preserve"> </w:t>
      </w:r>
    </w:p>
    <w:p w14:paraId="73735169">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其他收入：指除“财政拨款收入”、“财政专户拨款收入”等以外的收入，包括事业单位经营性收入、上级补助收入、附属单位上缴收入等。</w:t>
      </w:r>
    </w:p>
    <w:p w14:paraId="46CB18B0">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基本支出：指为保障机构正常运转、完成日常工作任务而发生的人员支出和公用支出。</w:t>
      </w:r>
    </w:p>
    <w:p w14:paraId="7699070B">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项目支出：指在基本支出之外为完成特定行政任务和事业发展目标所发生的支出。</w:t>
      </w:r>
    </w:p>
    <w:p w14:paraId="16B4D424">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8F2C744">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一般公共服务（类）财政事务（款）行政运行（项）：反映行政单位（包括实行公务员管理的事业单位）的基本支出。</w:t>
      </w:r>
    </w:p>
    <w:p w14:paraId="74C43AF9">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一般公共服务（类）财政事务（款）一般行政管理事务（项）：反映行政单位（包括实行公务员管理的事业单位）未单独设置项级科目的其他项目支出。</w:t>
      </w:r>
    </w:p>
    <w:p w14:paraId="00B5FC46">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8</w:t>
      </w:r>
      <w:r>
        <w:rPr>
          <w:rFonts w:hint="eastAsia" w:ascii="仿宋" w:hAnsi="仿宋" w:eastAsia="仿宋" w:cs="仿宋"/>
          <w:color w:val="000000"/>
          <w:kern w:val="0"/>
          <w:sz w:val="32"/>
          <w:szCs w:val="32"/>
        </w:rPr>
        <w:t>一般公共服务（类）财政事务（款）信息化建设（项）：反映财政部门用于“金财工程”等信息化建设方面的支出。</w:t>
      </w:r>
    </w:p>
    <w:p w14:paraId="52D271AB">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一般公共服务（类）财政事务（款）财政委托业务支出（项）：反映财政委托评审机构进行财政投资评审和委托建设银行等机构代理业务发生的支出。</w:t>
      </w:r>
    </w:p>
    <w:p w14:paraId="0383BB5F">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10. </w:t>
      </w:r>
      <w:r>
        <w:rPr>
          <w:rFonts w:hint="eastAsia" w:ascii="仿宋" w:hAnsi="仿宋" w:eastAsia="仿宋" w:cs="仿宋"/>
          <w:color w:val="000000"/>
          <w:kern w:val="0"/>
          <w:sz w:val="32"/>
          <w:szCs w:val="32"/>
        </w:rPr>
        <w:t>一般公共服务（类）财政事务（款）事业运行（项）：反映事业单位的基本支出，不包括行政单位（包括实行公务员管理的事业单位）后勤服务中心、医务室等附属事业单位。</w:t>
      </w:r>
    </w:p>
    <w:p w14:paraId="35035A0D">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11. </w:t>
      </w:r>
      <w:r>
        <w:rPr>
          <w:rFonts w:hint="eastAsia" w:ascii="仿宋" w:hAnsi="仿宋" w:eastAsia="仿宋" w:cs="仿宋"/>
          <w:color w:val="000000"/>
          <w:kern w:val="0"/>
          <w:sz w:val="32"/>
          <w:szCs w:val="32"/>
        </w:rPr>
        <w:t>一般公共服务（类）财政事务（款）其他财政事务支出（项）：反映其他财政事务方面的支出。</w:t>
      </w:r>
    </w:p>
    <w:p w14:paraId="02027584">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．教育支出（类）其他教育支出（款）其他教育支出（项）：反映其他用于教育方面的支出。</w:t>
      </w:r>
    </w:p>
    <w:p w14:paraId="38256CDA">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13. </w:t>
      </w:r>
      <w:r>
        <w:rPr>
          <w:rFonts w:hint="eastAsia" w:ascii="仿宋" w:hAnsi="仿宋" w:eastAsia="仿宋" w:cs="仿宋"/>
          <w:color w:val="000000"/>
          <w:kern w:val="0"/>
          <w:sz w:val="32"/>
          <w:szCs w:val="32"/>
        </w:rPr>
        <w:t>社会保障和就业（类）行政事业单位离退休（款）归口管理的行政单位离退休（项）：反映实行归口管理的行政单位（包括实行公务员管理的事业单位）开支的离退休经费。</w:t>
      </w:r>
    </w:p>
    <w:p w14:paraId="4BB2D77F">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14. </w:t>
      </w:r>
      <w:r>
        <w:rPr>
          <w:rFonts w:hint="eastAsia" w:ascii="仿宋" w:hAnsi="仿宋" w:eastAsia="仿宋" w:cs="仿宋"/>
          <w:color w:val="000000"/>
          <w:kern w:val="0"/>
          <w:sz w:val="32"/>
          <w:szCs w:val="32"/>
        </w:rPr>
        <w:t>社会保障和就业（类）行政事业单位离退休（款）机关事业单位基本养老保险缴费支出（项）：反映机关事业单位实施养老保险制度由单位缴纳的基本养老保险费支出。</w:t>
      </w:r>
    </w:p>
    <w:p w14:paraId="1AF29A82">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15.</w:t>
      </w:r>
      <w:r>
        <w:rPr>
          <w:rFonts w:hint="eastAsia" w:ascii="仿宋" w:hAnsi="仿宋" w:eastAsia="仿宋" w:cs="仿宋"/>
          <w:color w:val="000000"/>
          <w:kern w:val="0"/>
          <w:sz w:val="32"/>
          <w:szCs w:val="32"/>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4C89F8D6">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16.</w:t>
      </w:r>
      <w:r>
        <w:rPr>
          <w:rFonts w:hint="eastAsia" w:ascii="仿宋" w:hAnsi="仿宋" w:eastAsia="仿宋" w:cs="仿宋"/>
          <w:color w:val="000000"/>
          <w:kern w:val="0"/>
          <w:sz w:val="32"/>
          <w:szCs w:val="32"/>
        </w:rPr>
        <w:t>医疗卫生与计划生育（类）医疗保障（款）事业单位医疗（项）：反映财政部门集中安排的事业单位基本医疗保险缴费经费，未参加医疗保险的事业单位的公费医疗经费，按国家规定享受离休人员待遇人员的医疗经费。</w:t>
      </w:r>
    </w:p>
    <w:p w14:paraId="4AAA66E5">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17.</w:t>
      </w:r>
      <w:r>
        <w:rPr>
          <w:rFonts w:hint="eastAsia" w:ascii="仿宋" w:hAnsi="仿宋" w:eastAsia="仿宋" w:cs="仿宋"/>
          <w:color w:val="000000"/>
          <w:kern w:val="0"/>
          <w:sz w:val="32"/>
          <w:szCs w:val="32"/>
        </w:rPr>
        <w:t>住房保障（类）住房改革（款）住房公积金（项）：反映行政事业单位按人力资源和社会保障部、财政部规定的基本工资和津贴补贴以及规定比例为职工缴纳的住房公积金。</w:t>
      </w:r>
    </w:p>
    <w:p w14:paraId="3A449E0F">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18.</w:t>
      </w:r>
      <w:r>
        <w:rPr>
          <w:rFonts w:hint="eastAsia" w:ascii="仿宋" w:hAnsi="仿宋" w:eastAsia="仿宋" w:cs="仿宋"/>
          <w:color w:val="000000"/>
          <w:kern w:val="0"/>
          <w:sz w:val="32"/>
          <w:szCs w:val="32"/>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4D8DA920">
      <w:pPr>
        <w:widowControl/>
        <w:spacing w:line="560" w:lineRule="exac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                                 </w:t>
      </w:r>
    </w:p>
    <w:p w14:paraId="390BB880">
      <w:pPr>
        <w:widowControl/>
        <w:spacing w:line="560" w:lineRule="exact"/>
        <w:ind w:firstLine="640" w:firstLineChars="200"/>
        <w:jc w:val="left"/>
        <w:rPr>
          <w:rFonts w:ascii="仿宋" w:hAnsi="仿宋" w:eastAsia="仿宋" w:cs="仿宋"/>
          <w:color w:val="000000"/>
          <w:kern w:val="0"/>
          <w:sz w:val="32"/>
          <w:szCs w:val="32"/>
        </w:rPr>
      </w:pPr>
    </w:p>
    <w:p w14:paraId="28276B3B">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2024年2月</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日</w:t>
      </w:r>
    </w:p>
    <w:p w14:paraId="2D1FE8B8">
      <w:pPr>
        <w:widowControl/>
        <w:spacing w:line="560" w:lineRule="exact"/>
        <w:ind w:firstLine="640" w:firstLineChars="200"/>
        <w:jc w:val="left"/>
        <w:rPr>
          <w:rFonts w:ascii="仿宋" w:hAnsi="仿宋" w:eastAsia="仿宋" w:cs="仿宋"/>
          <w:color w:val="000000"/>
          <w:kern w:val="0"/>
          <w:sz w:val="32"/>
          <w:szCs w:val="32"/>
        </w:rPr>
      </w:pPr>
    </w:p>
    <w:sectPr>
      <w:footerReference r:id="rId3" w:type="default"/>
      <w:footerReference r:id="rId4" w:type="even"/>
      <w:pgSz w:w="11906" w:h="16838"/>
      <w:pgMar w:top="1531"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29B0">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5</w:t>
    </w:r>
    <w:r>
      <w:rPr>
        <w:rStyle w:val="6"/>
      </w:rPr>
      <w:fldChar w:fldCharType="end"/>
    </w:r>
  </w:p>
  <w:p w14:paraId="79D4FC3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1F906">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14:paraId="0CB6D2DD">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C05D4"/>
    <w:multiLevelType w:val="multilevel"/>
    <w:tmpl w:val="3C3C05D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FD455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qFormat/>
    <w:uiPriority w:val="99"/>
    <w:rPr>
      <w:rFonts w:cs="Times New Roman"/>
    </w:rPr>
  </w:style>
  <w:style w:type="character" w:customStyle="1" w:styleId="7">
    <w:name w:val="页眉 Char"/>
    <w:link w:val="3"/>
    <w:semiHidden/>
    <w:qFormat/>
    <w:locked/>
    <w:uiPriority w:val="99"/>
    <w:rPr>
      <w:rFonts w:ascii="Times New Roman" w:hAnsi="Times New Roman" w:eastAsia="宋体" w:cs="Times New Roman"/>
      <w:sz w:val="18"/>
      <w:szCs w:val="18"/>
    </w:rPr>
  </w:style>
  <w:style w:type="character" w:customStyle="1" w:styleId="8">
    <w:name w:val="页脚 Char"/>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3831</Words>
  <Characters>3960</Characters>
  <Lines>29</Lines>
  <Paragraphs>8</Paragraphs>
  <TotalTime>3</TotalTime>
  <ScaleCrop>false</ScaleCrop>
  <LinksUpToDate>false</LinksUpToDate>
  <CharactersWithSpaces>4056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2024-01-29T11:47:00Z</cp:lastPrinted>
  <dcterms:modified xsi:type="dcterms:W3CDTF">2025-05-11T23:54:55Z</dcterms:modified>
  <dc:title>大连高新技术产业园区XX单位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7D48D9E49520418BA944A06B95F90A37</vt:lpwstr>
  </property>
  <property fmtid="{D5CDD505-2E9C-101B-9397-08002B2CF9AE}" pid="4" name="KSOTemplateDocerSaveRecord">
    <vt:lpwstr>eyJoZGlkIjoiZGE4Nzg1MDJkY2JjNmYyNDI1Yzk4ODYzYjU2OTgxNWYifQ==</vt:lpwstr>
  </property>
</Properties>
</file>