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0D11D">
      <w:pPr>
        <w:spacing w:line="600" w:lineRule="exact"/>
        <w:rPr>
          <w:rFonts w:ascii="仿宋_GB2312" w:eastAsia="仿宋_GB2312"/>
          <w:sz w:val="32"/>
          <w:szCs w:val="32"/>
        </w:rPr>
      </w:pPr>
    </w:p>
    <w:p w14:paraId="12CFD71D">
      <w:pPr>
        <w:widowControl/>
        <w:spacing w:line="330" w:lineRule="atLeast"/>
        <w:jc w:val="center"/>
        <w:rPr>
          <w:rFonts w:hint="eastAsia" w:cs="仿宋" w:asciiTheme="minorEastAsia" w:hAnsiTheme="minorEastAsia" w:eastAsiaTheme="minorEastAsia"/>
          <w:b/>
          <w:bCs/>
          <w:sz w:val="36"/>
          <w:szCs w:val="36"/>
          <w:lang w:val="en-US" w:eastAsia="zh-CN"/>
        </w:rPr>
      </w:pPr>
      <w:r>
        <w:rPr>
          <w:rFonts w:hint="eastAsia" w:cs="仿宋" w:asciiTheme="minorEastAsia" w:hAnsiTheme="minorEastAsia" w:eastAsiaTheme="minorEastAsia"/>
          <w:b/>
          <w:bCs/>
          <w:sz w:val="36"/>
          <w:szCs w:val="36"/>
        </w:rPr>
        <w:t>大连高新技术产业园区</w:t>
      </w:r>
      <w:r>
        <w:rPr>
          <w:rFonts w:hint="eastAsia" w:cs="仿宋" w:asciiTheme="minorEastAsia" w:hAnsiTheme="minorEastAsia" w:eastAsiaTheme="minorEastAsia"/>
          <w:b/>
          <w:bCs/>
          <w:sz w:val="36"/>
          <w:szCs w:val="36"/>
          <w:lang w:eastAsia="zh-CN"/>
        </w:rPr>
        <w:t>人才服务中心</w:t>
      </w:r>
    </w:p>
    <w:p w14:paraId="4FEC08D5">
      <w:pPr>
        <w:widowControl/>
        <w:spacing w:line="330" w:lineRule="atLeast"/>
        <w:jc w:val="center"/>
        <w:rPr>
          <w:rFonts w:asciiTheme="minorEastAsia" w:hAnsiTheme="minorEastAsia" w:eastAsiaTheme="minorEastAsia"/>
          <w:b/>
          <w:bCs/>
          <w:sz w:val="36"/>
          <w:szCs w:val="36"/>
        </w:rPr>
      </w:pPr>
      <w:r>
        <w:rPr>
          <w:rFonts w:hint="eastAsia" w:cs="仿宋" w:asciiTheme="minorEastAsia" w:hAnsiTheme="minorEastAsia" w:eastAsiaTheme="minorEastAsia"/>
          <w:b/>
          <w:bCs/>
          <w:sz w:val="36"/>
          <w:szCs w:val="36"/>
        </w:rPr>
        <w:t>20</w:t>
      </w:r>
      <w:r>
        <w:rPr>
          <w:rFonts w:hint="eastAsia" w:cs="仿宋" w:asciiTheme="minorEastAsia" w:hAnsiTheme="minorEastAsia" w:eastAsiaTheme="minorEastAsia"/>
          <w:b/>
          <w:bCs/>
          <w:sz w:val="36"/>
          <w:szCs w:val="36"/>
          <w:lang w:val="en-US" w:eastAsia="zh-CN"/>
        </w:rPr>
        <w:t>24</w:t>
      </w:r>
      <w:r>
        <w:rPr>
          <w:rFonts w:hint="eastAsia" w:cs="仿宋" w:asciiTheme="minorEastAsia" w:hAnsiTheme="minorEastAsia" w:eastAsiaTheme="minorEastAsia"/>
          <w:b/>
          <w:bCs/>
          <w:color w:val="000000"/>
          <w:kern w:val="0"/>
          <w:sz w:val="36"/>
          <w:szCs w:val="36"/>
        </w:rPr>
        <w:t>年部门预算</w:t>
      </w:r>
    </w:p>
    <w:p w14:paraId="7C195F95">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14:paraId="51B92AC3">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14:paraId="30E723ED">
      <w:pPr>
        <w:widowControl/>
        <w:numPr>
          <w:ilvl w:val="0"/>
          <w:numId w:val="1"/>
        </w:numPr>
        <w:spacing w:line="33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主要职责</w:t>
      </w:r>
    </w:p>
    <w:p w14:paraId="49557085">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（一）为党群工作部提供支持和服务保障。</w:t>
      </w:r>
    </w:p>
    <w:p w14:paraId="2B29BD01">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（二）负责组织落实国家、省市区有关人才工作的各项政策，包括“兴辽英才”计划、“兴连英才”计划、“高新20条”等政策的宣传、申报受理及初审等工作。</w:t>
      </w:r>
    </w:p>
    <w:p w14:paraId="4EAA5B3F">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（三）负责辖区人力资源开发和交流工作，包括辖区人力资源市场管理和人才信息网络平台建设</w:t>
      </w:r>
      <w:r>
        <w:rPr>
          <w:rFonts w:hint="eastAsia" w:ascii="仿宋" w:hAnsi="仿宋" w:eastAsia="仿宋" w:cs="仿宋"/>
          <w:color w:val="000000"/>
          <w:kern w:val="0"/>
          <w:sz w:val="30"/>
          <w:szCs w:val="30"/>
          <w:lang w:eastAsia="zh-CN"/>
        </w:rPr>
        <w:t>工作</w:t>
      </w:r>
      <w:r>
        <w:rPr>
          <w:rFonts w:hint="eastAsia" w:ascii="仿宋" w:hAnsi="仿宋" w:eastAsia="仿宋" w:cs="仿宋"/>
          <w:color w:val="000000"/>
          <w:kern w:val="0"/>
          <w:sz w:val="30"/>
          <w:szCs w:val="30"/>
        </w:rPr>
        <w:t>；线上线下人力资源市场的开发管理和运营；辖区企业人才招聘及</w:t>
      </w:r>
      <w:r>
        <w:rPr>
          <w:rFonts w:hint="eastAsia" w:ascii="仿宋" w:hAnsi="仿宋" w:eastAsia="仿宋" w:cs="仿宋"/>
          <w:color w:val="000000"/>
          <w:kern w:val="0"/>
          <w:sz w:val="30"/>
          <w:szCs w:val="30"/>
          <w:lang w:eastAsia="zh-CN"/>
        </w:rPr>
        <w:t>相关</w:t>
      </w:r>
      <w:r>
        <w:rPr>
          <w:rFonts w:hint="eastAsia" w:ascii="仿宋" w:hAnsi="仿宋" w:eastAsia="仿宋" w:cs="仿宋"/>
          <w:color w:val="000000"/>
          <w:kern w:val="0"/>
          <w:sz w:val="30"/>
          <w:szCs w:val="30"/>
        </w:rPr>
        <w:t>活动的组织。</w:t>
      </w:r>
    </w:p>
    <w:p w14:paraId="510E6135">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（四）负责辖区专业技术人才培养和评价工作，包括辖区专业技术资格的评审和考核确定等工作，协助上级主管部门承担辖区专业技术人员继续教育管理及公共人才培训项目的实施等工作。</w:t>
      </w:r>
    </w:p>
    <w:p w14:paraId="3A82BB5A">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（五）负责辖区流动人员人事档案管理及服务等相关人才公共服务事项的办理。</w:t>
      </w:r>
    </w:p>
    <w:p w14:paraId="5D2F8130">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（六）负责辖区高校毕业生来连就业手续办理、就业援助、就业指导及国家、省、市高校毕业生就业促进政策宣传、落实等工作。</w:t>
      </w:r>
    </w:p>
    <w:p w14:paraId="3F293B23">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（七）负责做好省、市、区各类人才的服务保障工作。</w:t>
      </w:r>
    </w:p>
    <w:p w14:paraId="057CB20C">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（八）完成党群工作部交办的其他任务。</w:t>
      </w:r>
    </w:p>
    <w:p w14:paraId="57B61793">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14:paraId="04EAEC26">
      <w:pPr>
        <w:widowControl/>
        <w:spacing w:line="330" w:lineRule="atLeast"/>
        <w:ind w:firstLine="585"/>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eastAsia="zh-CN"/>
        </w:rPr>
        <w:t>人才</w:t>
      </w:r>
      <w:r>
        <w:rPr>
          <w:rFonts w:hint="eastAsia" w:ascii="仿宋" w:hAnsi="仿宋" w:eastAsia="仿宋" w:cs="仿宋"/>
          <w:color w:val="000000"/>
          <w:kern w:val="0"/>
          <w:sz w:val="30"/>
          <w:szCs w:val="30"/>
        </w:rPr>
        <w:t>服务中心部门预算为本部门综合收支计划，无二级单位。</w:t>
      </w:r>
    </w:p>
    <w:p w14:paraId="11F51D9A">
      <w:pPr>
        <w:widowControl/>
        <w:spacing w:line="330" w:lineRule="atLeast"/>
        <w:ind w:firstLine="585"/>
        <w:jc w:val="left"/>
        <w:rPr>
          <w:rFonts w:hint="eastAsia" w:ascii="仿宋" w:hAnsi="仿宋" w:eastAsia="仿宋" w:cs="仿宋"/>
          <w:color w:val="000000"/>
          <w:kern w:val="0"/>
          <w:sz w:val="30"/>
          <w:szCs w:val="30"/>
        </w:rPr>
      </w:pPr>
    </w:p>
    <w:p w14:paraId="32BCE529">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14:paraId="4C4CCBB2">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14:paraId="708FCCBD">
      <w:pPr>
        <w:widowControl/>
        <w:spacing w:line="330" w:lineRule="atLeast"/>
        <w:ind w:firstLine="600" w:firstLineChars="20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rPr>
        <w:t>按照综合预算的原则，本部门所有收入和支出均纳入部门预算管理，无下级预算单位。收入包括：财政拨款收入</w:t>
      </w:r>
      <w:r>
        <w:rPr>
          <w:rFonts w:hint="eastAsia" w:ascii="仿宋_GB2312" w:eastAsia="仿宋_GB2312"/>
          <w:sz w:val="32"/>
          <w:szCs w:val="32"/>
          <w:lang w:val="en-US" w:eastAsia="zh-CN"/>
        </w:rPr>
        <w:t>530.76</w:t>
      </w:r>
      <w:r>
        <w:rPr>
          <w:rFonts w:hint="eastAsia" w:ascii="仿宋" w:hAnsi="仿宋" w:eastAsia="仿宋" w:cs="仿宋"/>
          <w:color w:val="000000"/>
          <w:kern w:val="0"/>
          <w:sz w:val="30"/>
          <w:szCs w:val="30"/>
          <w:highlight w:val="none"/>
        </w:rPr>
        <w:t>万元；支出包括：支出预算</w:t>
      </w:r>
      <w:r>
        <w:rPr>
          <w:rFonts w:hint="eastAsia" w:ascii="仿宋_GB2312" w:eastAsia="仿宋_GB2312"/>
          <w:sz w:val="32"/>
          <w:szCs w:val="32"/>
          <w:lang w:val="en-US" w:eastAsia="zh-CN"/>
        </w:rPr>
        <w:t>530.76</w:t>
      </w:r>
      <w:r>
        <w:rPr>
          <w:rFonts w:hint="eastAsia" w:ascii="仿宋" w:hAnsi="仿宋" w:eastAsia="仿宋" w:cs="仿宋"/>
          <w:color w:val="000000"/>
          <w:kern w:val="0"/>
          <w:sz w:val="30"/>
          <w:szCs w:val="30"/>
          <w:highlight w:val="none"/>
        </w:rPr>
        <w:t>万元，其中工资福利和对个人家庭补助支出</w:t>
      </w:r>
      <w:r>
        <w:rPr>
          <w:rFonts w:hint="eastAsia" w:ascii="仿宋" w:hAnsi="仿宋" w:eastAsia="仿宋" w:cs="仿宋"/>
          <w:color w:val="000000"/>
          <w:kern w:val="0"/>
          <w:sz w:val="30"/>
          <w:szCs w:val="30"/>
          <w:highlight w:val="none"/>
          <w:lang w:val="en-US" w:eastAsia="zh-CN"/>
        </w:rPr>
        <w:t>402</w:t>
      </w:r>
      <w:r>
        <w:rPr>
          <w:rFonts w:hint="eastAsia" w:ascii="仿宋" w:hAnsi="仿宋" w:eastAsia="仿宋" w:cs="仿宋"/>
          <w:color w:val="000000"/>
          <w:kern w:val="0"/>
          <w:sz w:val="30"/>
          <w:szCs w:val="30"/>
          <w:highlight w:val="none"/>
        </w:rPr>
        <w:t>万元，商品和服务支出</w:t>
      </w:r>
      <w:r>
        <w:rPr>
          <w:rFonts w:hint="eastAsia" w:ascii="仿宋_GB2312" w:eastAsia="仿宋_GB2312"/>
          <w:sz w:val="32"/>
          <w:szCs w:val="32"/>
          <w:lang w:val="en-US" w:eastAsia="zh-CN"/>
        </w:rPr>
        <w:t>128.76</w:t>
      </w:r>
      <w:r>
        <w:rPr>
          <w:rFonts w:hint="eastAsia" w:ascii="仿宋" w:hAnsi="仿宋" w:eastAsia="仿宋" w:cs="仿宋"/>
          <w:color w:val="000000"/>
          <w:kern w:val="0"/>
          <w:sz w:val="30"/>
          <w:szCs w:val="30"/>
          <w:highlight w:val="none"/>
        </w:rPr>
        <w:t>万元。全部为一般公共预算收支，无政府性基金预算收支，无国有资本经营预算收支。比2024年预算数</w:t>
      </w:r>
      <w:r>
        <w:rPr>
          <w:rFonts w:hint="eastAsia" w:ascii="仿宋" w:hAnsi="仿宋" w:eastAsia="仿宋" w:cs="仿宋"/>
          <w:color w:val="000000"/>
          <w:kern w:val="0"/>
          <w:sz w:val="30"/>
          <w:szCs w:val="30"/>
          <w:highlight w:val="none"/>
          <w:lang w:eastAsia="zh-CN"/>
        </w:rPr>
        <w:t>增加</w:t>
      </w:r>
      <w:r>
        <w:rPr>
          <w:rFonts w:hint="eastAsia" w:ascii="仿宋" w:hAnsi="仿宋" w:eastAsia="仿宋" w:cs="仿宋"/>
          <w:color w:val="000000"/>
          <w:kern w:val="0"/>
          <w:sz w:val="30"/>
          <w:szCs w:val="30"/>
          <w:highlight w:val="none"/>
          <w:lang w:val="en-US" w:eastAsia="zh-CN"/>
        </w:rPr>
        <w:t>7.06</w:t>
      </w:r>
      <w:r>
        <w:rPr>
          <w:rFonts w:hint="eastAsia" w:ascii="仿宋" w:hAnsi="仿宋" w:eastAsia="仿宋" w:cs="仿宋"/>
          <w:color w:val="000000"/>
          <w:kern w:val="0"/>
          <w:sz w:val="30"/>
          <w:szCs w:val="30"/>
          <w:highlight w:val="none"/>
        </w:rPr>
        <w:t>万元，其中工资福利和对个人家庭补助支出</w:t>
      </w:r>
      <w:r>
        <w:rPr>
          <w:rFonts w:hint="eastAsia" w:ascii="仿宋" w:hAnsi="仿宋" w:eastAsia="仿宋" w:cs="仿宋"/>
          <w:color w:val="000000"/>
          <w:kern w:val="0"/>
          <w:sz w:val="30"/>
          <w:szCs w:val="30"/>
          <w:highlight w:val="none"/>
          <w:lang w:eastAsia="zh-CN"/>
        </w:rPr>
        <w:t>增加</w:t>
      </w:r>
      <w:r>
        <w:rPr>
          <w:rFonts w:hint="eastAsia" w:ascii="仿宋" w:hAnsi="仿宋" w:eastAsia="仿宋" w:cs="仿宋"/>
          <w:color w:val="000000"/>
          <w:kern w:val="0"/>
          <w:sz w:val="30"/>
          <w:szCs w:val="30"/>
          <w:highlight w:val="none"/>
          <w:lang w:val="en-US" w:eastAsia="zh-CN"/>
        </w:rPr>
        <w:t>6.35</w:t>
      </w:r>
      <w:r>
        <w:rPr>
          <w:rFonts w:hint="eastAsia" w:ascii="仿宋" w:hAnsi="仿宋" w:eastAsia="仿宋" w:cs="仿宋"/>
          <w:color w:val="000000"/>
          <w:kern w:val="0"/>
          <w:sz w:val="30"/>
          <w:szCs w:val="30"/>
          <w:highlight w:val="none"/>
        </w:rPr>
        <w:t>万元，商品和服务支出</w:t>
      </w:r>
      <w:r>
        <w:rPr>
          <w:rFonts w:hint="eastAsia" w:ascii="仿宋" w:hAnsi="仿宋" w:eastAsia="仿宋" w:cs="仿宋"/>
          <w:color w:val="000000"/>
          <w:kern w:val="0"/>
          <w:sz w:val="30"/>
          <w:szCs w:val="30"/>
          <w:highlight w:val="none"/>
          <w:lang w:eastAsia="zh-CN"/>
        </w:rPr>
        <w:t>减少</w:t>
      </w:r>
      <w:r>
        <w:rPr>
          <w:rFonts w:hint="eastAsia" w:ascii="仿宋" w:hAnsi="仿宋" w:eastAsia="仿宋" w:cs="仿宋"/>
          <w:color w:val="000000"/>
          <w:kern w:val="0"/>
          <w:sz w:val="30"/>
          <w:szCs w:val="30"/>
          <w:highlight w:val="none"/>
          <w:lang w:val="en-US" w:eastAsia="zh-CN"/>
        </w:rPr>
        <w:t>13.41</w:t>
      </w:r>
      <w:r>
        <w:rPr>
          <w:rFonts w:hint="eastAsia" w:ascii="仿宋" w:hAnsi="仿宋" w:eastAsia="仿宋" w:cs="仿宋"/>
          <w:color w:val="000000"/>
          <w:kern w:val="0"/>
          <w:sz w:val="30"/>
          <w:szCs w:val="30"/>
          <w:highlight w:val="none"/>
        </w:rPr>
        <w:t>万元。</w:t>
      </w:r>
    </w:p>
    <w:p w14:paraId="26AAE954">
      <w:pPr>
        <w:widowControl/>
        <w:spacing w:line="330" w:lineRule="atLeast"/>
        <w:ind w:firstLine="600" w:firstLineChars="200"/>
        <w:jc w:val="left"/>
        <w:rPr>
          <w:rFonts w:ascii="仿宋" w:hAnsi="仿宋" w:eastAsia="仿宋"/>
          <w:color w:val="000000"/>
          <w:sz w:val="30"/>
          <w:szCs w:val="30"/>
          <w:highlight w:val="none"/>
        </w:rPr>
      </w:pPr>
      <w:r>
        <w:rPr>
          <w:rFonts w:hint="eastAsia" w:ascii="仿宋" w:hAnsi="仿宋" w:eastAsia="仿宋" w:cs="仿宋"/>
          <w:color w:val="000000"/>
          <w:kern w:val="0"/>
          <w:sz w:val="30"/>
          <w:szCs w:val="30"/>
          <w:highlight w:val="none"/>
        </w:rPr>
        <w:t>二、“三公”经费预算情况说明</w:t>
      </w:r>
    </w:p>
    <w:p w14:paraId="30CAC901">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无“三公”经费支出</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与去年相同。主要是按照中央及市委、市政府关于厉行节约、改进工作作风、密切联系群众“八项规定”等有关要求，严格控制“三公”经费支出。</w:t>
      </w:r>
    </w:p>
    <w:p w14:paraId="7C70BBCF">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14:paraId="3A3E6345">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机关运行经费包括定额公用经费</w:t>
      </w:r>
      <w:r>
        <w:rPr>
          <w:rFonts w:hint="eastAsia" w:ascii="仿宋" w:hAnsi="仿宋" w:eastAsia="仿宋" w:cs="仿宋"/>
          <w:color w:val="000000"/>
          <w:kern w:val="0"/>
          <w:sz w:val="30"/>
          <w:szCs w:val="30"/>
          <w:lang w:val="en-US" w:eastAsia="zh-CN"/>
        </w:rPr>
        <w:t>16.67</w:t>
      </w:r>
      <w:r>
        <w:rPr>
          <w:rFonts w:hint="eastAsia" w:ascii="仿宋" w:hAnsi="仿宋" w:eastAsia="仿宋" w:cs="仿宋"/>
          <w:color w:val="000000"/>
          <w:kern w:val="0"/>
          <w:sz w:val="30"/>
          <w:szCs w:val="30"/>
        </w:rPr>
        <w:t>万元。</w:t>
      </w:r>
    </w:p>
    <w:p w14:paraId="64D0475C">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14:paraId="04F2BCFA">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无政府采购项目。</w:t>
      </w:r>
    </w:p>
    <w:p w14:paraId="154EE79D">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14:paraId="6FFAD037">
      <w:pPr>
        <w:spacing w:line="330" w:lineRule="atLeas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无政府性基金预算收支。</w:t>
      </w:r>
    </w:p>
    <w:p w14:paraId="68ACAE7B">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14:paraId="45918AF3">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国有资产占有使用情况说明为：截至202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年12月31日，部门（单位）共有车辆0辆；单位价值50万元（含）以上通用设备0台（套）；单位价值100万元以上专用设备0台（套）</w:t>
      </w:r>
      <w:r>
        <w:rPr>
          <w:rFonts w:hint="eastAsia" w:ascii="仿宋" w:hAnsi="仿宋" w:eastAsia="仿宋" w:cs="仿宋"/>
          <w:color w:val="000000"/>
          <w:kern w:val="0"/>
          <w:sz w:val="30"/>
          <w:szCs w:val="30"/>
          <w:lang w:eastAsia="zh-CN"/>
        </w:rPr>
        <w:t>。</w:t>
      </w:r>
    </w:p>
    <w:p w14:paraId="55FD7731">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14:paraId="272BC606">
      <w:pPr>
        <w:widowControl/>
        <w:spacing w:line="330" w:lineRule="atLeast"/>
        <w:ind w:firstLine="600" w:firstLineChars="200"/>
        <w:jc w:val="left"/>
        <w:rPr>
          <w:rFonts w:hint="eastAsia" w:ascii="仿宋" w:hAnsi="仿宋" w:eastAsia="仿宋" w:cs="Verdana"/>
          <w:color w:val="000000"/>
          <w:sz w:val="30"/>
          <w:szCs w:val="30"/>
        </w:rPr>
      </w:pPr>
      <w:r>
        <w:rPr>
          <w:rFonts w:hint="eastAsia" w:ascii="仿宋" w:hAnsi="仿宋" w:eastAsia="仿宋" w:cs="Verdana"/>
          <w:color w:val="000000"/>
          <w:sz w:val="30"/>
          <w:szCs w:val="30"/>
        </w:rPr>
        <w:t>202</w:t>
      </w:r>
      <w:r>
        <w:rPr>
          <w:rFonts w:hint="eastAsia" w:ascii="仿宋" w:hAnsi="仿宋" w:eastAsia="仿宋" w:cs="Verdana"/>
          <w:color w:val="000000"/>
          <w:sz w:val="30"/>
          <w:szCs w:val="30"/>
          <w:lang w:val="en-US" w:eastAsia="zh-CN"/>
        </w:rPr>
        <w:t>4</w:t>
      </w:r>
      <w:r>
        <w:rPr>
          <w:rFonts w:hint="eastAsia" w:ascii="仿宋" w:hAnsi="仿宋" w:eastAsia="仿宋" w:cs="Verdana"/>
          <w:color w:val="000000"/>
          <w:sz w:val="30"/>
          <w:szCs w:val="30"/>
        </w:rPr>
        <w:t>年，按照“先有绩效，后有预算”原则，本部门共计编制绩效目标1个，预算金额</w:t>
      </w:r>
      <w:r>
        <w:rPr>
          <w:rFonts w:hint="eastAsia" w:ascii="仿宋" w:hAnsi="仿宋" w:eastAsia="仿宋" w:cs="Verdana"/>
          <w:color w:val="000000"/>
          <w:sz w:val="30"/>
          <w:szCs w:val="30"/>
          <w:lang w:val="en-US" w:eastAsia="zh-CN"/>
        </w:rPr>
        <w:t>112</w:t>
      </w:r>
      <w:r>
        <w:rPr>
          <w:rFonts w:hint="eastAsia" w:ascii="仿宋" w:hAnsi="仿宋" w:eastAsia="仿宋" w:cs="Verdana"/>
          <w:color w:val="000000"/>
          <w:sz w:val="30"/>
          <w:szCs w:val="30"/>
        </w:rPr>
        <w:t>万元，占项目支出预算比重100%。</w:t>
      </w:r>
    </w:p>
    <w:p w14:paraId="39FDA39F">
      <w:pPr>
        <w:numPr>
          <w:ilvl w:val="0"/>
          <w:numId w:val="2"/>
        </w:numPr>
        <w:ind w:firstLine="600" w:firstLineChars="200"/>
        <w:outlineLvl w:val="0"/>
        <w:rPr>
          <w:rFonts w:hint="eastAsia"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人才服务中心劳务派遣经费</w:t>
      </w:r>
      <w:r>
        <w:rPr>
          <w:rFonts w:hint="eastAsia" w:ascii="仿宋" w:hAnsi="仿宋" w:eastAsia="仿宋" w:cs="仿宋_GB2312"/>
          <w:bCs/>
          <w:color w:val="000000"/>
          <w:kern w:val="0"/>
          <w:sz w:val="30"/>
          <w:szCs w:val="30"/>
          <w:lang w:eastAsia="zh-CN"/>
        </w:rPr>
        <w:t>项</w:t>
      </w:r>
      <w:r>
        <w:rPr>
          <w:rFonts w:hint="eastAsia" w:ascii="仿宋" w:hAnsi="仿宋" w:eastAsia="仿宋" w:cs="仿宋_GB2312"/>
          <w:bCs/>
          <w:color w:val="000000"/>
          <w:kern w:val="0"/>
          <w:sz w:val="30"/>
          <w:szCs w:val="30"/>
        </w:rPr>
        <w:t>目</w:t>
      </w:r>
    </w:p>
    <w:p w14:paraId="1930A0E5">
      <w:pPr>
        <w:numPr>
          <w:ilvl w:val="0"/>
          <w:numId w:val="0"/>
        </w:num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1.项目概述</w:t>
      </w:r>
    </w:p>
    <w:p w14:paraId="12176E90">
      <w:pPr>
        <w:ind w:firstLine="600" w:firstLineChars="200"/>
        <w:rPr>
          <w:rFonts w:hint="eastAsia" w:ascii="仿宋" w:hAnsi="仿宋" w:eastAsia="仿宋" w:cs="Verdana"/>
          <w:kern w:val="0"/>
          <w:sz w:val="30"/>
          <w:szCs w:val="30"/>
        </w:rPr>
      </w:pPr>
      <w:r>
        <w:rPr>
          <w:rFonts w:hint="eastAsia" w:ascii="仿宋" w:hAnsi="仿宋" w:eastAsia="仿宋" w:cs="Verdana"/>
          <w:kern w:val="0"/>
          <w:sz w:val="30"/>
          <w:szCs w:val="30"/>
        </w:rPr>
        <w:t>以劳务派遣公司委派专业技能人员进驻的方式，来提高行政效率、降低行政成本、弥补缺失岗位、完成部门年度既定工作目标。</w:t>
      </w:r>
    </w:p>
    <w:p w14:paraId="5D261BED">
      <w:pPr>
        <w:ind w:firstLine="600" w:firstLineChars="200"/>
        <w:rPr>
          <w:rFonts w:ascii="仿宋" w:hAnsi="仿宋" w:eastAsia="仿宋" w:cs="仿宋_GB2312"/>
          <w:color w:val="000000"/>
          <w:kern w:val="0"/>
          <w:sz w:val="30"/>
          <w:szCs w:val="30"/>
          <w:highlight w:val="none"/>
        </w:rPr>
      </w:pPr>
      <w:r>
        <w:rPr>
          <w:rFonts w:hint="eastAsia" w:ascii="仿宋" w:hAnsi="仿宋" w:eastAsia="仿宋" w:cs="仿宋_GB2312"/>
          <w:bCs/>
          <w:color w:val="000000"/>
          <w:kern w:val="0"/>
          <w:sz w:val="30"/>
          <w:szCs w:val="30"/>
          <w:highlight w:val="none"/>
        </w:rPr>
        <w:t>2.立项依据</w:t>
      </w:r>
    </w:p>
    <w:p w14:paraId="740F0D8B">
      <w:pPr>
        <w:ind w:firstLine="600" w:firstLineChars="200"/>
        <w:rPr>
          <w:rFonts w:hint="eastAsia" w:ascii="仿宋" w:hAnsi="仿宋" w:eastAsia="仿宋" w:cs="Verdana"/>
          <w:kern w:val="0"/>
          <w:sz w:val="30"/>
          <w:szCs w:val="30"/>
        </w:rPr>
      </w:pPr>
      <w:r>
        <w:rPr>
          <w:rFonts w:hint="eastAsia" w:ascii="仿宋" w:hAnsi="仿宋" w:eastAsia="仿宋" w:cs="Verdana"/>
          <w:kern w:val="0"/>
          <w:sz w:val="30"/>
          <w:szCs w:val="30"/>
        </w:rPr>
        <w:t>根据管委会工作需要，及往年劳务派遣人员工作安排。</w:t>
      </w:r>
    </w:p>
    <w:p w14:paraId="106F383B">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3.实施主体</w:t>
      </w:r>
    </w:p>
    <w:p w14:paraId="4C50E827">
      <w:pPr>
        <w:ind w:left="160" w:firstLine="450" w:firstLineChars="150"/>
        <w:rPr>
          <w:rFonts w:hint="eastAsia" w:ascii="仿宋" w:hAnsi="仿宋" w:eastAsia="仿宋" w:cs="Verdana"/>
          <w:kern w:val="0"/>
          <w:sz w:val="30"/>
          <w:szCs w:val="30"/>
          <w:lang w:eastAsia="zh-CN"/>
        </w:rPr>
      </w:pPr>
      <w:r>
        <w:rPr>
          <w:rFonts w:hint="eastAsia" w:ascii="仿宋" w:hAnsi="仿宋" w:eastAsia="仿宋" w:cs="Verdana"/>
          <w:kern w:val="0"/>
          <w:sz w:val="30"/>
          <w:szCs w:val="30"/>
          <w:lang w:eastAsia="zh-CN"/>
        </w:rPr>
        <w:t>大连高新技术产业园区人才服务中心</w:t>
      </w:r>
    </w:p>
    <w:p w14:paraId="4132E9C7">
      <w:pPr>
        <w:ind w:left="160" w:firstLine="450" w:firstLineChars="15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4.实施方案</w:t>
      </w:r>
    </w:p>
    <w:p w14:paraId="288670B8">
      <w:pPr>
        <w:ind w:firstLine="600" w:firstLineChars="200"/>
        <w:rPr>
          <w:rFonts w:hint="eastAsia"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按照《</w:t>
      </w:r>
      <w:r>
        <w:rPr>
          <w:rFonts w:hint="eastAsia" w:ascii="仿宋" w:hAnsi="仿宋" w:eastAsia="仿宋" w:cs="仿宋_GB2312"/>
          <w:bCs/>
          <w:color w:val="000000"/>
          <w:kern w:val="0"/>
          <w:sz w:val="30"/>
          <w:szCs w:val="30"/>
          <w:lang w:eastAsia="zh-CN"/>
        </w:rPr>
        <w:t>劳务派遣合同</w:t>
      </w:r>
      <w:r>
        <w:rPr>
          <w:rFonts w:hint="eastAsia" w:ascii="仿宋" w:hAnsi="仿宋" w:eastAsia="仿宋" w:cs="仿宋_GB2312"/>
          <w:bCs/>
          <w:color w:val="000000"/>
          <w:kern w:val="0"/>
          <w:sz w:val="30"/>
          <w:szCs w:val="30"/>
        </w:rPr>
        <w:t>》的相关内容，发放工资、绩效奖金并缴纳社会保险、公积金等。</w:t>
      </w:r>
    </w:p>
    <w:p w14:paraId="232D243E">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5.实施周期</w:t>
      </w:r>
    </w:p>
    <w:p w14:paraId="0AD0DCE0">
      <w:pPr>
        <w:ind w:firstLine="600" w:firstLineChars="200"/>
        <w:rPr>
          <w:rFonts w:hint="eastAsia" w:ascii="仿宋" w:hAnsi="仿宋" w:eastAsia="仿宋" w:cs="仿宋_GB2312"/>
          <w:color w:val="000000"/>
          <w:kern w:val="0"/>
          <w:sz w:val="30"/>
          <w:szCs w:val="30"/>
        </w:rPr>
      </w:pPr>
      <w:r>
        <w:rPr>
          <w:rFonts w:hint="eastAsia" w:ascii="仿宋" w:hAnsi="仿宋" w:eastAsia="仿宋" w:cs="仿宋_GB2312"/>
          <w:color w:val="000000"/>
          <w:kern w:val="0"/>
          <w:sz w:val="30"/>
          <w:szCs w:val="30"/>
        </w:rPr>
        <w:t>202</w:t>
      </w:r>
      <w:r>
        <w:rPr>
          <w:rFonts w:hint="eastAsia" w:ascii="仿宋" w:hAnsi="仿宋" w:eastAsia="仿宋" w:cs="仿宋_GB2312"/>
          <w:color w:val="000000"/>
          <w:kern w:val="0"/>
          <w:sz w:val="30"/>
          <w:szCs w:val="30"/>
          <w:lang w:val="en-US" w:eastAsia="zh-CN"/>
        </w:rPr>
        <w:t>4</w:t>
      </w:r>
      <w:r>
        <w:rPr>
          <w:rFonts w:hint="eastAsia" w:ascii="仿宋" w:hAnsi="仿宋" w:eastAsia="仿宋" w:cs="仿宋_GB2312"/>
          <w:color w:val="000000"/>
          <w:kern w:val="0"/>
          <w:sz w:val="30"/>
          <w:szCs w:val="30"/>
        </w:rPr>
        <w:t>年1月1日至202</w:t>
      </w:r>
      <w:r>
        <w:rPr>
          <w:rFonts w:hint="eastAsia" w:ascii="仿宋" w:hAnsi="仿宋" w:eastAsia="仿宋" w:cs="仿宋_GB2312"/>
          <w:color w:val="000000"/>
          <w:kern w:val="0"/>
          <w:sz w:val="30"/>
          <w:szCs w:val="30"/>
          <w:lang w:val="en-US" w:eastAsia="zh-CN"/>
        </w:rPr>
        <w:t>4</w:t>
      </w:r>
      <w:r>
        <w:rPr>
          <w:rFonts w:hint="eastAsia" w:ascii="仿宋" w:hAnsi="仿宋" w:eastAsia="仿宋" w:cs="仿宋_GB2312"/>
          <w:color w:val="000000"/>
          <w:kern w:val="0"/>
          <w:sz w:val="30"/>
          <w:szCs w:val="30"/>
        </w:rPr>
        <w:t>年12月31日。</w:t>
      </w:r>
    </w:p>
    <w:p w14:paraId="719B4974">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6.年度预算安排</w:t>
      </w:r>
    </w:p>
    <w:p w14:paraId="548776B7">
      <w:pPr>
        <w:widowControl/>
        <w:spacing w:line="330" w:lineRule="atLeast"/>
        <w:ind w:firstLine="600" w:firstLineChars="200"/>
        <w:jc w:val="left"/>
        <w:rPr>
          <w:rFonts w:hint="eastAsia" w:ascii="仿宋" w:hAnsi="仿宋" w:eastAsia="仿宋" w:cs="仿宋_GB2312"/>
          <w:color w:val="000000"/>
          <w:kern w:val="0"/>
          <w:sz w:val="30"/>
          <w:szCs w:val="30"/>
        </w:rPr>
      </w:pPr>
      <w:r>
        <w:rPr>
          <w:rFonts w:hint="eastAsia" w:ascii="仿宋" w:hAnsi="仿宋" w:eastAsia="仿宋" w:cs="仿宋_GB2312"/>
          <w:color w:val="000000"/>
          <w:kern w:val="0"/>
          <w:sz w:val="30"/>
          <w:szCs w:val="30"/>
        </w:rPr>
        <w:t>202</w:t>
      </w:r>
      <w:r>
        <w:rPr>
          <w:rFonts w:hint="eastAsia" w:ascii="仿宋" w:hAnsi="仿宋" w:eastAsia="仿宋" w:cs="仿宋_GB2312"/>
          <w:color w:val="000000"/>
          <w:kern w:val="0"/>
          <w:sz w:val="30"/>
          <w:szCs w:val="30"/>
          <w:lang w:val="en-US" w:eastAsia="zh-CN"/>
        </w:rPr>
        <w:t>4</w:t>
      </w:r>
      <w:r>
        <w:rPr>
          <w:rFonts w:hint="eastAsia" w:ascii="仿宋" w:hAnsi="仿宋" w:eastAsia="仿宋" w:cs="仿宋_GB2312"/>
          <w:color w:val="000000"/>
          <w:kern w:val="0"/>
          <w:sz w:val="30"/>
          <w:szCs w:val="30"/>
        </w:rPr>
        <w:t>年预算金额</w:t>
      </w:r>
      <w:r>
        <w:rPr>
          <w:rFonts w:hint="eastAsia" w:ascii="仿宋" w:hAnsi="仿宋" w:eastAsia="仿宋" w:cs="仿宋_GB2312"/>
          <w:color w:val="000000"/>
          <w:kern w:val="0"/>
          <w:sz w:val="30"/>
          <w:szCs w:val="30"/>
          <w:lang w:val="en-US" w:eastAsia="zh-CN"/>
        </w:rPr>
        <w:t>112</w:t>
      </w:r>
      <w:r>
        <w:rPr>
          <w:rFonts w:hint="eastAsia" w:ascii="仿宋" w:hAnsi="仿宋" w:eastAsia="仿宋" w:cs="仿宋_GB2312"/>
          <w:color w:val="000000"/>
          <w:kern w:val="0"/>
          <w:sz w:val="30"/>
          <w:szCs w:val="30"/>
        </w:rPr>
        <w:t>万元，其中财政拨款</w:t>
      </w:r>
      <w:r>
        <w:rPr>
          <w:rFonts w:hint="eastAsia" w:ascii="仿宋" w:hAnsi="仿宋" w:eastAsia="仿宋" w:cs="仿宋_GB2312"/>
          <w:color w:val="000000"/>
          <w:kern w:val="0"/>
          <w:sz w:val="30"/>
          <w:szCs w:val="30"/>
          <w:lang w:val="en-US" w:eastAsia="zh-CN"/>
        </w:rPr>
        <w:t>112</w:t>
      </w:r>
      <w:r>
        <w:rPr>
          <w:rFonts w:hint="eastAsia" w:ascii="仿宋" w:hAnsi="仿宋" w:eastAsia="仿宋" w:cs="仿宋_GB2312"/>
          <w:color w:val="000000"/>
          <w:kern w:val="0"/>
          <w:sz w:val="30"/>
          <w:szCs w:val="30"/>
        </w:rPr>
        <w:t>万元。</w:t>
      </w:r>
    </w:p>
    <w:p w14:paraId="65323AE6">
      <w:pPr>
        <w:widowControl/>
        <w:spacing w:line="330" w:lineRule="atLeast"/>
        <w:ind w:firstLine="600" w:firstLineChars="200"/>
        <w:jc w:val="left"/>
        <w:rPr>
          <w:rFonts w:hint="eastAsia" w:ascii="仿宋" w:hAnsi="仿宋" w:eastAsia="仿宋" w:cs="仿宋_GB2312"/>
          <w:color w:val="000000"/>
          <w:kern w:val="0"/>
          <w:sz w:val="30"/>
          <w:szCs w:val="30"/>
        </w:rPr>
      </w:pPr>
    </w:p>
    <w:p w14:paraId="18F49656">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14:paraId="51D1D7CC">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1.财政拨款收入：指市财政当年拨付的资金。 </w:t>
      </w:r>
    </w:p>
    <w:p w14:paraId="4732BDB2">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2.其他收入：指除“财政拨款收入”、“财政专户拨款收入”等以外的收入，包括事业单位经营性收入、上级补助收入、附属单位上缴收入等。</w:t>
      </w:r>
    </w:p>
    <w:p w14:paraId="6056A2A3">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3.基本支出：指为保障机构正常运转、完成日常工作任务而发生的人员支出和公用支出。</w:t>
      </w:r>
    </w:p>
    <w:p w14:paraId="7AF84FB0">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4.项目支出：指在基本支出之外为完成特定行政任务和事业发展目标所发生的支出。</w:t>
      </w:r>
    </w:p>
    <w:p w14:paraId="26941B40">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D56341C">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6.一般公共服务（类）财政事务（款）行政运行（项）：反映行政单位（包括实行公务员管理的事业单位）的基本支出。</w:t>
      </w:r>
    </w:p>
    <w:p w14:paraId="44DC5F3A">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7.一般公共服务（类）财政事务（款）一般行政管理事务（项）：反映行政单位（包括实行公务员管理的事业单位）未单独设置项级科目的其他项目支出。</w:t>
      </w:r>
    </w:p>
    <w:p w14:paraId="51273F02">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8一般公共服务（类）财政事务（款）信息化建设（项）：反映财政部门用于“金财工程”等信息化建设方面的支出。</w:t>
      </w:r>
    </w:p>
    <w:p w14:paraId="4FA60939">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9.一般公共服务（类）财政事务（款）财政委托业务支出（项）：反映财政委托评审机构进行财政投资评审和委托建设银行等机构代理业务发生的支出。</w:t>
      </w:r>
    </w:p>
    <w:p w14:paraId="127AD00F">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10. 一般公共服务（类）财政事务（款）事业运行（项）：反映事业单位的基本支出，不包括行政单位（包括实行公务员管理的事业单位）后勤服务中心、医务室等附属事业单位。</w:t>
      </w:r>
    </w:p>
    <w:p w14:paraId="62266218">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11. 一般公共服务（类）财政事务（款）其他财政事务支出（项）：反映其他财政事务方面的支出。</w:t>
      </w:r>
    </w:p>
    <w:p w14:paraId="1A40FBD1">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12．教育支出（类）其他教育支出（款）其他教育支出（项）：反映其他用于教育方面的支出。</w:t>
      </w:r>
    </w:p>
    <w:p w14:paraId="1655D87E">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13. 社会保障和就业（类）行政事业单位离退休（款）归口管理的行政单位离退休（项）：反映实行归口管理的行政单位（包括实行公务员管理的事业单位）开支的离退休经费。</w:t>
      </w:r>
    </w:p>
    <w:p w14:paraId="08ACE573">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14. 社会保障和就业（类）行政事业单位离退休（款）机关事业单位基本养老保险缴费支出（项）：反映机关事业单位实施养老保险制度由单位缴纳的基本养老保险费支出。</w:t>
      </w:r>
    </w:p>
    <w:p w14:paraId="325023F2">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15.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628BB5A5">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16.医疗卫生与计划生育（类）医疗保障（款）事业单位医疗（项）：反映财政部门集中安排的事业单位基本医疗保险缴费经费，未参加医疗保险的事业单位的公费医疗经费，按国家规定享受离休人员待遇人员的医疗经费。</w:t>
      </w:r>
    </w:p>
    <w:p w14:paraId="441BF586">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17.住房保障（类）住房改革（款）住房公积金（项）：反映行政事业单位按人力资源和社会保障部、财政部规定的基本工资和津贴补贴以及规定比例为职工缴纳的住房公积金。</w:t>
      </w:r>
    </w:p>
    <w:p w14:paraId="155D3D46">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18.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749661EE">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w:t>
      </w:r>
    </w:p>
    <w:p w14:paraId="3171FB2F">
      <w:pPr>
        <w:widowControl/>
        <w:spacing w:line="330" w:lineRule="atLeast"/>
        <w:ind w:firstLine="600" w:firstLineChars="200"/>
        <w:jc w:val="left"/>
        <w:rPr>
          <w:rFonts w:ascii="仿宋" w:hAnsi="仿宋" w:eastAsia="仿宋" w:cs="仿宋"/>
          <w:color w:val="000000"/>
          <w:kern w:val="0"/>
          <w:sz w:val="30"/>
          <w:szCs w:val="30"/>
        </w:rPr>
      </w:pPr>
    </w:p>
    <w:p w14:paraId="2A1969CE">
      <w:pPr>
        <w:widowControl/>
        <w:spacing w:line="330" w:lineRule="atLeast"/>
        <w:ind w:firstLine="4500" w:firstLineChars="15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20</w:t>
      </w:r>
      <w:r>
        <w:rPr>
          <w:rFonts w:hint="eastAsia" w:ascii="仿宋" w:hAnsi="仿宋" w:eastAsia="仿宋" w:cs="仿宋"/>
          <w:color w:val="000000"/>
          <w:kern w:val="0"/>
          <w:sz w:val="30"/>
          <w:szCs w:val="30"/>
          <w:lang w:val="en-US" w:eastAsia="zh-CN"/>
        </w:rPr>
        <w:t>24</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月</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日</w:t>
      </w:r>
    </w:p>
    <w:p w14:paraId="4214617D">
      <w:pPr>
        <w:widowControl/>
        <w:spacing w:line="330" w:lineRule="atLeast"/>
        <w:ind w:firstLine="600" w:firstLineChars="200"/>
        <w:jc w:val="left"/>
        <w:rPr>
          <w:rFonts w:ascii="仿宋" w:hAnsi="仿宋" w:eastAsia="仿宋" w:cs="仿宋"/>
          <w:color w:val="000000"/>
          <w:kern w:val="0"/>
          <w:sz w:val="30"/>
          <w:szCs w:val="30"/>
        </w:rPr>
      </w:pPr>
      <w:bookmarkStart w:id="0" w:name="_GoBack"/>
      <w:bookmarkEnd w:id="0"/>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3EE01">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58EBC59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11A06">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5D80617E">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C05D4"/>
    <w:multiLevelType w:val="multilevel"/>
    <w:tmpl w:val="3C3C05D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7ABC24D7"/>
    <w:multiLevelType w:val="singleLevel"/>
    <w:tmpl w:val="7ABC24D7"/>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A7158"/>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6E55"/>
    <w:rsid w:val="00EC0A5A"/>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4062E0E"/>
    <w:rsid w:val="06774C40"/>
    <w:rsid w:val="07424CE5"/>
    <w:rsid w:val="0AD025A1"/>
    <w:rsid w:val="0C67047E"/>
    <w:rsid w:val="0E6A46D2"/>
    <w:rsid w:val="104B091B"/>
    <w:rsid w:val="13B32A60"/>
    <w:rsid w:val="18CD6371"/>
    <w:rsid w:val="19411027"/>
    <w:rsid w:val="1E5B0CC7"/>
    <w:rsid w:val="21D75036"/>
    <w:rsid w:val="21D96333"/>
    <w:rsid w:val="241C7371"/>
    <w:rsid w:val="242C3C7F"/>
    <w:rsid w:val="250E07D0"/>
    <w:rsid w:val="287A0545"/>
    <w:rsid w:val="2AD215C5"/>
    <w:rsid w:val="2D65543B"/>
    <w:rsid w:val="37194D17"/>
    <w:rsid w:val="3A0C2078"/>
    <w:rsid w:val="3BC904F1"/>
    <w:rsid w:val="3C90503C"/>
    <w:rsid w:val="3E7551CA"/>
    <w:rsid w:val="3F0837F5"/>
    <w:rsid w:val="40435681"/>
    <w:rsid w:val="450E7BE7"/>
    <w:rsid w:val="46D6135B"/>
    <w:rsid w:val="471338C7"/>
    <w:rsid w:val="48B4226E"/>
    <w:rsid w:val="49217D98"/>
    <w:rsid w:val="498B571A"/>
    <w:rsid w:val="4A7551F9"/>
    <w:rsid w:val="4AE11787"/>
    <w:rsid w:val="4DF00C86"/>
    <w:rsid w:val="4FB00B1E"/>
    <w:rsid w:val="51BD1252"/>
    <w:rsid w:val="53265AB3"/>
    <w:rsid w:val="55A6769E"/>
    <w:rsid w:val="59F04046"/>
    <w:rsid w:val="61371DB3"/>
    <w:rsid w:val="64C473E4"/>
    <w:rsid w:val="67112D5C"/>
    <w:rsid w:val="69052841"/>
    <w:rsid w:val="6CCA0AD6"/>
    <w:rsid w:val="6F313EAB"/>
    <w:rsid w:val="729E357D"/>
    <w:rsid w:val="7AE74C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kern w:val="0"/>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autoRedefine/>
    <w:qFormat/>
    <w:uiPriority w:val="99"/>
    <w:rPr>
      <w:rFonts w:cs="Times New Roman"/>
    </w:rPr>
  </w:style>
  <w:style w:type="character" w:customStyle="1" w:styleId="7">
    <w:name w:val="页眉 Char"/>
    <w:link w:val="3"/>
    <w:autoRedefine/>
    <w:semiHidden/>
    <w:qFormat/>
    <w:locked/>
    <w:uiPriority w:val="99"/>
    <w:rPr>
      <w:rFonts w:ascii="Times New Roman" w:hAnsi="Times New Roman" w:eastAsia="宋体" w:cs="Times New Roman"/>
      <w:sz w:val="18"/>
      <w:szCs w:val="18"/>
    </w:rPr>
  </w:style>
  <w:style w:type="character" w:customStyle="1" w:styleId="8">
    <w:name w:val="页脚 Char"/>
    <w:link w:val="2"/>
    <w:autoRedefine/>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2478</Words>
  <Characters>2588</Characters>
  <Lines>4</Lines>
  <Paragraphs>1</Paragraphs>
  <TotalTime>2</TotalTime>
  <ScaleCrop>false</ScaleCrop>
  <LinksUpToDate>false</LinksUpToDate>
  <CharactersWithSpaces>2855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2024-01-29T11:47:00Z</cp:lastPrinted>
  <dcterms:modified xsi:type="dcterms:W3CDTF">2025-05-09T07:03:48Z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7D48D9E49520418BA944A06B95F90A37</vt:lpwstr>
  </property>
  <property fmtid="{D5CDD505-2E9C-101B-9397-08002B2CF9AE}" pid="4" name="KSOTemplateDocerSaveRecord">
    <vt:lpwstr>eyJoZGlkIjoiZGE4Nzg1MDJkY2JjNmYyNDI1Yzk4ODYzYjU2OTgxNWYifQ==</vt:lpwstr>
  </property>
</Properties>
</file>