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七贤岭街道办事处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5220.66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666.84</w:t>
      </w:r>
      <w:r>
        <w:rPr>
          <w:rFonts w:hint="eastAsia" w:ascii="仿宋_GB2312" w:eastAsia="仿宋_GB2312"/>
          <w:sz w:val="32"/>
          <w:szCs w:val="32"/>
        </w:rPr>
        <w:t>万元，商品和服务支出4553.82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86B0B4C"/>
    <w:rsid w:val="391905F6"/>
    <w:rsid w:val="3A145757"/>
    <w:rsid w:val="3C027831"/>
    <w:rsid w:val="3C99439C"/>
    <w:rsid w:val="3CFD5752"/>
    <w:rsid w:val="3ECA121C"/>
    <w:rsid w:val="3F634A8A"/>
    <w:rsid w:val="410D7DC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DA5E70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277</Characters>
  <Lines>2</Lines>
  <Paragraphs>1</Paragraphs>
  <TotalTime>21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2025-05-12T06:52:21Z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