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5615C">
      <w:pPr>
        <w:spacing w:line="600" w:lineRule="exact"/>
        <w:rPr>
          <w:rFonts w:hint="eastAsia" w:ascii="仿宋_GB2312" w:eastAsia="仿宋_GB2312"/>
          <w:sz w:val="32"/>
          <w:szCs w:val="32"/>
        </w:rPr>
      </w:pPr>
    </w:p>
    <w:p w14:paraId="06F7A18B">
      <w:pPr>
        <w:widowControl/>
        <w:spacing w:line="330" w:lineRule="atLeast"/>
        <w:jc w:val="center"/>
        <w:rPr>
          <w:rFonts w:ascii="宋体" w:hAnsi="宋体" w:cs="仿宋"/>
          <w:b/>
          <w:bCs/>
          <w:sz w:val="36"/>
          <w:szCs w:val="36"/>
        </w:rPr>
      </w:pPr>
      <w:r>
        <w:rPr>
          <w:rFonts w:hint="eastAsia" w:ascii="宋体" w:hAnsi="宋体" w:cs="仿宋"/>
          <w:b/>
          <w:bCs/>
          <w:sz w:val="36"/>
          <w:szCs w:val="36"/>
        </w:rPr>
        <w:t>大连高新技术产业园区经济发展服务中心</w:t>
      </w:r>
    </w:p>
    <w:p w14:paraId="78FEE37B">
      <w:pPr>
        <w:widowControl/>
        <w:spacing w:line="330" w:lineRule="atLeast"/>
        <w:jc w:val="center"/>
        <w:rPr>
          <w:rFonts w:ascii="宋体" w:hAnsi="宋体"/>
          <w:b/>
          <w:bCs/>
          <w:sz w:val="36"/>
          <w:szCs w:val="36"/>
        </w:rPr>
      </w:pPr>
      <w:r>
        <w:rPr>
          <w:rFonts w:hint="eastAsia" w:ascii="宋体" w:hAnsi="宋体" w:cs="仿宋"/>
          <w:b/>
          <w:bCs/>
          <w:sz w:val="36"/>
          <w:szCs w:val="36"/>
        </w:rPr>
        <w:t>20</w:t>
      </w:r>
      <w:r>
        <w:rPr>
          <w:rFonts w:ascii="宋体" w:hAnsi="宋体" w:cs="仿宋"/>
          <w:b/>
          <w:bCs/>
          <w:sz w:val="36"/>
          <w:szCs w:val="36"/>
        </w:rPr>
        <w:t>2</w:t>
      </w:r>
      <w:r>
        <w:rPr>
          <w:rFonts w:hint="eastAsia" w:ascii="宋体" w:hAnsi="宋体" w:cs="仿宋"/>
          <w:b/>
          <w:bCs/>
          <w:sz w:val="36"/>
          <w:szCs w:val="36"/>
          <w:lang w:val="en-US" w:eastAsia="zh-CN"/>
        </w:rPr>
        <w:t>4</w:t>
      </w:r>
      <w:r>
        <w:rPr>
          <w:rFonts w:hint="eastAsia" w:ascii="宋体" w:hAnsi="宋体" w:cs="仿宋"/>
          <w:b/>
          <w:bCs/>
          <w:color w:val="000000"/>
          <w:kern w:val="0"/>
          <w:sz w:val="36"/>
          <w:szCs w:val="36"/>
        </w:rPr>
        <w:t>年部门预算</w:t>
      </w:r>
    </w:p>
    <w:p w14:paraId="40B54C5E">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21E09ACE">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15FBDA49">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1923B9D2">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(一).为经济发展局提供支持和服务保障。</w:t>
      </w:r>
    </w:p>
    <w:p w14:paraId="04B4C32B">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(二).协助经济发展局做好全区发改、工信、统计、军民融合等相关工作。</w:t>
      </w:r>
    </w:p>
    <w:p w14:paraId="5009F754">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(三).协助开展产业推进、投资、重大项目建设、循环经济、节能减排、粮食、区域发展、能源、军民融合等工作。</w:t>
      </w:r>
    </w:p>
    <w:p w14:paraId="2F1A51F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(四).协助落实工业和信息产业技术创新政策，指导各级各类工业和信息产业计划项目申报;协助落实工业和信息化工作的方针政策和决策部署。</w:t>
      </w:r>
    </w:p>
    <w:p w14:paraId="55F3C75D">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(五).协助经济发展局执行国家统计标准、统计法规及统计制度，完成国家、省、市统计调查任务；负责按照有关规定搜集、整理、分析、提供和管理园区的基本统计资料，为经济运行分析提供数据支持。</w:t>
      </w:r>
    </w:p>
    <w:p w14:paraId="2DAA2AAD">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(六).负责纪检监察、司法、行政机关委托的涉嫌违纪案件、刑事案件、国家行政机关工作中涉及财务的价格认定及相关事务性工作。</w:t>
      </w:r>
    </w:p>
    <w:p w14:paraId="3E42DE9B">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(七).负责全区信用信息管理、失信行为举报案件的受理和核实、信用评价工作；维护“信用大连（高新区）”网站。</w:t>
      </w:r>
    </w:p>
    <w:p w14:paraId="7E9EDD9B">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(八).协助职能部门开展区域合作发展相关工作。</w:t>
      </w:r>
    </w:p>
    <w:p w14:paraId="6C6D726D">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(九).承担高新区党工委、管委会及经济发展局交办的其他工作。</w:t>
      </w:r>
    </w:p>
    <w:p w14:paraId="7F644EC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1F27C805">
      <w:pPr>
        <w:widowControl/>
        <w:spacing w:line="330" w:lineRule="atLeast"/>
        <w:ind w:firstLine="585"/>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本部门中，事业单位1家，为大连高新技术产业园区经济发展服务中心（本级）。</w:t>
      </w:r>
    </w:p>
    <w:p w14:paraId="1F40492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5A3BC330">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335507C1">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按照综合预算的原则，本部门所有收入和支出均纳入部门预算管理。收入包括：财政拨款收入</w:t>
      </w:r>
      <w:r>
        <w:rPr>
          <w:rFonts w:hint="eastAsia" w:ascii="仿宋_GB2312" w:eastAsia="仿宋_GB2312"/>
          <w:sz w:val="32"/>
          <w:szCs w:val="32"/>
          <w:lang w:val="en-US" w:eastAsia="zh-CN"/>
        </w:rPr>
        <w:t>514.44</w:t>
      </w:r>
      <w:r>
        <w:rPr>
          <w:rFonts w:hint="eastAsia" w:ascii="仿宋" w:hAnsi="仿宋" w:eastAsia="仿宋" w:cs="仿宋"/>
          <w:color w:val="000000"/>
          <w:kern w:val="0"/>
          <w:sz w:val="30"/>
          <w:szCs w:val="30"/>
        </w:rPr>
        <w:t>万元，全部为一般公共预算拨款预算收入</w:t>
      </w:r>
      <w:r>
        <w:rPr>
          <w:rFonts w:hint="eastAsia" w:ascii="仿宋_GB2312" w:eastAsia="仿宋_GB2312"/>
          <w:sz w:val="32"/>
          <w:szCs w:val="32"/>
          <w:lang w:val="en-US" w:eastAsia="zh-CN"/>
        </w:rPr>
        <w:t>514.44</w:t>
      </w:r>
      <w:r>
        <w:rPr>
          <w:rFonts w:hint="eastAsia" w:ascii="仿宋" w:hAnsi="仿宋" w:eastAsia="仿宋" w:cs="仿宋"/>
          <w:color w:val="000000"/>
          <w:kern w:val="0"/>
          <w:sz w:val="30"/>
          <w:szCs w:val="30"/>
        </w:rPr>
        <w:t>万元。</w:t>
      </w:r>
      <w:r>
        <w:rPr>
          <w:rFonts w:hint="eastAsia" w:ascii="仿宋_GB2312" w:eastAsia="仿宋_GB2312"/>
          <w:sz w:val="32"/>
          <w:szCs w:val="32"/>
        </w:rPr>
        <w:t>包括：工资福利和对个人家庭补助支出</w:t>
      </w:r>
      <w:r>
        <w:rPr>
          <w:rFonts w:hint="eastAsia" w:ascii="仿宋_GB2312" w:eastAsia="仿宋_GB2312"/>
          <w:sz w:val="32"/>
          <w:szCs w:val="32"/>
          <w:lang w:val="en-US" w:eastAsia="zh-CN"/>
        </w:rPr>
        <w:t>399.78</w:t>
      </w:r>
      <w:r>
        <w:rPr>
          <w:rFonts w:hint="eastAsia" w:ascii="仿宋_GB2312" w:eastAsia="仿宋_GB2312"/>
          <w:sz w:val="32"/>
          <w:szCs w:val="32"/>
        </w:rPr>
        <w:t>万元，商品和服务支出</w:t>
      </w:r>
      <w:r>
        <w:rPr>
          <w:rFonts w:hint="eastAsia" w:ascii="仿宋_GB2312" w:eastAsia="仿宋_GB2312"/>
          <w:sz w:val="32"/>
          <w:szCs w:val="32"/>
          <w:lang w:val="en-US" w:eastAsia="zh-CN"/>
        </w:rPr>
        <w:t>114.66</w:t>
      </w:r>
      <w:r>
        <w:rPr>
          <w:rFonts w:hint="eastAsia" w:ascii="仿宋_GB2312" w:eastAsia="仿宋_GB2312"/>
          <w:sz w:val="32"/>
          <w:szCs w:val="32"/>
        </w:rPr>
        <w:t>万元。</w:t>
      </w: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年年初预算数比202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年年初预算数</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20</w:t>
      </w:r>
      <w:r>
        <w:rPr>
          <w:rFonts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29</w:t>
      </w:r>
      <w:r>
        <w:rPr>
          <w:rFonts w:hint="eastAsia" w:ascii="仿宋" w:hAnsi="仿宋" w:eastAsia="仿宋" w:cs="仿宋"/>
          <w:color w:val="000000"/>
          <w:kern w:val="0"/>
          <w:sz w:val="30"/>
          <w:szCs w:val="30"/>
        </w:rPr>
        <w:t>万元，原因为人员转隶。</w:t>
      </w:r>
    </w:p>
    <w:p w14:paraId="0EE4341A">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3EFA47C6">
      <w:pPr>
        <w:spacing w:line="600" w:lineRule="exact"/>
        <w:ind w:firstLine="600" w:firstLineChars="200"/>
        <w:rPr>
          <w:rFonts w:ascii="仿宋" w:hAnsi="仿宋" w:eastAsia="仿宋"/>
          <w:sz w:val="30"/>
          <w:szCs w:val="30"/>
        </w:rPr>
      </w:pPr>
      <w:r>
        <w:rPr>
          <w:rFonts w:hint="eastAsia" w:ascii="仿宋" w:hAnsi="仿宋" w:eastAsia="仿宋"/>
          <w:sz w:val="30"/>
          <w:szCs w:val="30"/>
        </w:rPr>
        <w:t>无“三公“经费支出。</w:t>
      </w:r>
    </w:p>
    <w:p w14:paraId="275FD012">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0A6D0E09">
      <w:pPr>
        <w:widowControl/>
        <w:spacing w:line="330" w:lineRule="atLeast"/>
        <w:ind w:firstLine="600" w:firstLineChars="200"/>
        <w:jc w:val="left"/>
        <w:rPr>
          <w:rFonts w:ascii="仿宋" w:hAnsi="仿宋" w:eastAsia="仿宋" w:cs="Verdana"/>
          <w:color w:val="000000"/>
          <w:kern w:val="0"/>
          <w:sz w:val="30"/>
          <w:szCs w:val="30"/>
        </w:rPr>
      </w:pPr>
      <w:r>
        <w:rPr>
          <w:rFonts w:hint="eastAsia" w:ascii="仿宋" w:hAnsi="仿宋" w:eastAsia="仿宋" w:cs="Verdana"/>
          <w:color w:val="000000"/>
          <w:kern w:val="0"/>
          <w:sz w:val="30"/>
          <w:szCs w:val="30"/>
        </w:rPr>
        <w:t>无机关运行经费。</w:t>
      </w:r>
    </w:p>
    <w:p w14:paraId="0AC0551E">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49C3540A">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无政府采购</w:t>
      </w:r>
    </w:p>
    <w:p w14:paraId="18FE586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5669519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无政府性基金收支预算</w:t>
      </w:r>
    </w:p>
    <w:p w14:paraId="1A140637">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2474A183">
      <w:pPr>
        <w:spacing w:line="33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国有资产占有使用情况说明为：截至202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年12月31日，部门（单位）共有车辆0辆；单位价值50万元（含）以上通用设备</w:t>
      </w:r>
      <w:r>
        <w:rPr>
          <w:rFonts w:ascii="仿宋" w:hAnsi="仿宋" w:eastAsia="仿宋" w:cs="仿宋"/>
          <w:kern w:val="0"/>
          <w:sz w:val="30"/>
          <w:szCs w:val="30"/>
        </w:rPr>
        <w:t>0</w:t>
      </w:r>
      <w:r>
        <w:rPr>
          <w:rFonts w:hint="eastAsia" w:ascii="仿宋" w:hAnsi="仿宋" w:eastAsia="仿宋" w:cs="仿宋"/>
          <w:kern w:val="0"/>
          <w:sz w:val="30"/>
          <w:szCs w:val="30"/>
        </w:rPr>
        <w:t>台（套）；单位价值100万元以上专用设备0台（套）。</w:t>
      </w:r>
    </w:p>
    <w:p w14:paraId="4F9E26EF">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692E7AD5">
      <w:pPr>
        <w:ind w:firstLine="600" w:firstLineChars="200"/>
        <w:rPr>
          <w:rFonts w:ascii="仿宋" w:hAnsi="仿宋" w:eastAsia="仿宋" w:cs="仿宋"/>
          <w:kern w:val="0"/>
          <w:sz w:val="30"/>
          <w:szCs w:val="30"/>
        </w:rPr>
      </w:pPr>
      <w:r>
        <w:rPr>
          <w:rFonts w:ascii="仿宋" w:hAnsi="仿宋" w:eastAsia="仿宋" w:cs="Verdana"/>
          <w:kern w:val="0"/>
          <w:sz w:val="30"/>
          <w:szCs w:val="30"/>
        </w:rPr>
        <w:t>202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年，按照“先有绩效，后有预算”原则，本部门共计编制绩效目标1个，预算金额</w:t>
      </w:r>
      <w:r>
        <w:rPr>
          <w:rFonts w:hint="eastAsia" w:ascii="仿宋" w:hAnsi="仿宋" w:eastAsia="仿宋" w:cs="Verdana"/>
          <w:kern w:val="0"/>
          <w:sz w:val="30"/>
          <w:szCs w:val="30"/>
          <w:lang w:val="en-US" w:eastAsia="zh-CN"/>
        </w:rPr>
        <w:t>98</w:t>
      </w:r>
      <w:r>
        <w:rPr>
          <w:rFonts w:hint="eastAsia" w:ascii="仿宋" w:hAnsi="仿宋" w:eastAsia="仿宋" w:cs="Verdana"/>
          <w:kern w:val="0"/>
          <w:sz w:val="30"/>
          <w:szCs w:val="30"/>
        </w:rPr>
        <w:t>万元，占项目支出预算比重100%。</w:t>
      </w:r>
    </w:p>
    <w:p w14:paraId="24906BF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八、经服中心劳务派遣人员经费</w:t>
      </w:r>
      <w:r>
        <w:rPr>
          <w:rFonts w:hint="eastAsia" w:ascii="仿宋" w:hAnsi="仿宋" w:eastAsia="仿宋" w:cs="Verdana"/>
          <w:kern w:val="0"/>
          <w:sz w:val="30"/>
          <w:szCs w:val="30"/>
        </w:rPr>
        <w:t>项目</w:t>
      </w:r>
    </w:p>
    <w:p w14:paraId="1169B8AA">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14:paraId="7FB1AFE0">
      <w:pPr>
        <w:ind w:firstLine="600" w:firstLineChars="200"/>
        <w:rPr>
          <w:rFonts w:ascii="仿宋" w:hAnsi="仿宋" w:eastAsia="仿宋" w:cs="Verdana"/>
          <w:kern w:val="0"/>
          <w:sz w:val="30"/>
          <w:szCs w:val="30"/>
        </w:rPr>
      </w:pPr>
      <w:r>
        <w:rPr>
          <w:rFonts w:hint="eastAsia" w:ascii="仿宋" w:hAnsi="仿宋" w:eastAsia="仿宋" w:cs="Verdana"/>
          <w:kern w:val="0"/>
          <w:sz w:val="30"/>
          <w:szCs w:val="30"/>
        </w:rPr>
        <w:t>以劳务派遣公司委派专业技能人员进驻的方式，来提高行政效率、降低行政成本、弥补缺失岗位、完成部门年度既定工作目标。</w:t>
      </w:r>
    </w:p>
    <w:p w14:paraId="4D6FA1AE">
      <w:pPr>
        <w:ind w:firstLine="600" w:firstLineChars="200"/>
        <w:rPr>
          <w:rFonts w:ascii="仿宋" w:hAnsi="仿宋" w:eastAsia="仿宋" w:cs="仿宋_GB2312"/>
          <w:color w:val="000000"/>
          <w:kern w:val="0"/>
          <w:sz w:val="30"/>
          <w:szCs w:val="30"/>
        </w:rPr>
      </w:pPr>
      <w:r>
        <w:rPr>
          <w:rFonts w:hint="eastAsia" w:ascii="仿宋" w:hAnsi="仿宋" w:eastAsia="仿宋" w:cs="仿宋_GB2312"/>
          <w:bCs/>
          <w:color w:val="000000"/>
          <w:kern w:val="0"/>
          <w:sz w:val="30"/>
          <w:szCs w:val="30"/>
        </w:rPr>
        <w:t>2.立项依据</w:t>
      </w:r>
    </w:p>
    <w:p w14:paraId="17D72D79">
      <w:pPr>
        <w:ind w:firstLine="600" w:firstLineChars="200"/>
        <w:outlineLvl w:val="0"/>
        <w:rPr>
          <w:rFonts w:ascii="仿宋" w:hAnsi="仿宋" w:eastAsia="仿宋" w:cs="仿宋_GB2312"/>
          <w:color w:val="000000"/>
          <w:kern w:val="0"/>
          <w:sz w:val="30"/>
          <w:szCs w:val="30"/>
        </w:rPr>
      </w:pPr>
      <w:r>
        <w:rPr>
          <w:rFonts w:hint="eastAsia" w:ascii="仿宋" w:hAnsi="仿宋" w:eastAsia="仿宋" w:cs="仿宋_GB2312"/>
          <w:color w:val="333333"/>
          <w:sz w:val="30"/>
          <w:szCs w:val="30"/>
        </w:rPr>
        <w:t>根据单位三定方案及工作职能，结合《辽宁省人民政府关于进一步加强统计工作的决定》《价格认定行为规范》《关于进一步做好信用专职机构的设置和专职人员配备工作的通知》。</w:t>
      </w:r>
    </w:p>
    <w:p w14:paraId="6601232F">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14:paraId="05748D24">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实施单位为大连高新技术产业园区经济发展服务中心</w:t>
      </w:r>
    </w:p>
    <w:p w14:paraId="2D31DCCE">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14:paraId="15990B21">
      <w:pPr>
        <w:ind w:firstLine="600" w:firstLineChars="200"/>
        <w:rPr>
          <w:rFonts w:ascii="仿宋" w:hAnsi="仿宋" w:eastAsia="仿宋" w:cs="Verdana"/>
          <w:kern w:val="0"/>
          <w:sz w:val="30"/>
          <w:szCs w:val="30"/>
        </w:rPr>
      </w:pPr>
      <w:r>
        <w:rPr>
          <w:rFonts w:hint="eastAsia" w:ascii="仿宋" w:hAnsi="仿宋" w:eastAsia="仿宋" w:cs="Verdana"/>
          <w:kern w:val="0"/>
          <w:sz w:val="30"/>
          <w:szCs w:val="30"/>
        </w:rPr>
        <w:t>按岗位需求派驻的劳务派遣人数</w:t>
      </w:r>
      <w:r>
        <w:rPr>
          <w:rFonts w:hint="eastAsia" w:ascii="仿宋" w:hAnsi="仿宋" w:eastAsia="仿宋" w:cs="仿宋_GB2312"/>
          <w:color w:val="000000"/>
          <w:kern w:val="0"/>
          <w:sz w:val="30"/>
          <w:szCs w:val="30"/>
        </w:rPr>
        <w:t>≥9人；劳务派遣人员与岗位需求契合度≥95%；劳务派遣人员本科及以上学历比例≥95%</w:t>
      </w:r>
    </w:p>
    <w:p w14:paraId="07903414">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14:paraId="52F579E6">
      <w:pPr>
        <w:ind w:firstLine="600" w:firstLineChars="200"/>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202</w:t>
      </w:r>
      <w:r>
        <w:rPr>
          <w:rFonts w:hint="eastAsia" w:ascii="仿宋" w:hAnsi="仿宋" w:eastAsia="仿宋" w:cs="仿宋_GB2312"/>
          <w:color w:val="000000"/>
          <w:kern w:val="0"/>
          <w:sz w:val="30"/>
          <w:szCs w:val="30"/>
          <w:lang w:val="en-US" w:eastAsia="zh-CN"/>
        </w:rPr>
        <w:t>4</w:t>
      </w:r>
      <w:r>
        <w:rPr>
          <w:rFonts w:hint="eastAsia" w:ascii="仿宋" w:hAnsi="仿宋" w:eastAsia="仿宋" w:cs="仿宋_GB2312"/>
          <w:color w:val="000000"/>
          <w:kern w:val="0"/>
          <w:sz w:val="30"/>
          <w:szCs w:val="30"/>
        </w:rPr>
        <w:t>年1月至202</w:t>
      </w:r>
      <w:r>
        <w:rPr>
          <w:rFonts w:hint="eastAsia" w:ascii="仿宋" w:hAnsi="仿宋" w:eastAsia="仿宋" w:cs="仿宋_GB2312"/>
          <w:color w:val="000000"/>
          <w:kern w:val="0"/>
          <w:sz w:val="30"/>
          <w:szCs w:val="30"/>
          <w:lang w:val="en-US" w:eastAsia="zh-CN"/>
        </w:rPr>
        <w:t>4</w:t>
      </w:r>
      <w:r>
        <w:rPr>
          <w:rFonts w:hint="eastAsia" w:ascii="仿宋" w:hAnsi="仿宋" w:eastAsia="仿宋" w:cs="仿宋_GB2312"/>
          <w:color w:val="000000"/>
          <w:kern w:val="0"/>
          <w:sz w:val="30"/>
          <w:szCs w:val="30"/>
        </w:rPr>
        <w:t>年12月</w:t>
      </w:r>
    </w:p>
    <w:p w14:paraId="5D944C74">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14:paraId="3ED14B5F">
      <w:pPr>
        <w:widowControl/>
        <w:spacing w:line="330" w:lineRule="atLeast"/>
        <w:ind w:firstLine="600" w:firstLineChars="200"/>
        <w:jc w:val="left"/>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实施期金额</w:t>
      </w:r>
      <w:r>
        <w:rPr>
          <w:rFonts w:hint="eastAsia" w:ascii="仿宋" w:hAnsi="仿宋" w:eastAsia="仿宋" w:cs="仿宋_GB2312"/>
          <w:color w:val="000000"/>
          <w:kern w:val="0"/>
          <w:sz w:val="30"/>
          <w:szCs w:val="30"/>
          <w:lang w:val="en-US" w:eastAsia="zh-CN"/>
        </w:rPr>
        <w:t>98</w:t>
      </w:r>
      <w:r>
        <w:rPr>
          <w:rFonts w:hint="eastAsia" w:ascii="仿宋" w:hAnsi="仿宋" w:eastAsia="仿宋" w:cs="仿宋_GB2312"/>
          <w:color w:val="000000"/>
          <w:kern w:val="0"/>
          <w:sz w:val="30"/>
          <w:szCs w:val="30"/>
        </w:rPr>
        <w:t>万元</w:t>
      </w:r>
    </w:p>
    <w:p w14:paraId="152B5964">
      <w:pPr>
        <w:widowControl/>
        <w:spacing w:line="330" w:lineRule="atLeast"/>
        <w:jc w:val="left"/>
        <w:rPr>
          <w:rFonts w:ascii="仿宋" w:hAnsi="仿宋" w:eastAsia="仿宋" w:cs="仿宋"/>
          <w:color w:val="000000"/>
          <w:kern w:val="0"/>
          <w:sz w:val="30"/>
          <w:szCs w:val="30"/>
        </w:rPr>
      </w:pPr>
    </w:p>
    <w:p w14:paraId="69C9DA4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360E65CB">
      <w:pPr>
        <w:numPr>
          <w:ilvl w:val="0"/>
          <w:numId w:val="2"/>
        </w:numPr>
        <w:ind w:firstLine="643" w:firstLineChars="200"/>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指单位本年度从本级财政部门取得的财政拨款，包括一般公共预算财政拨款和政府性基金预算财政拨款。</w:t>
      </w:r>
    </w:p>
    <w:p w14:paraId="671C8F9A">
      <w:pPr>
        <w:ind w:firstLine="643" w:firstLineChars="200"/>
        <w:rPr>
          <w:rFonts w:ascii="仿宋_GB2312" w:eastAsia="仿宋_GB2312"/>
          <w:sz w:val="32"/>
          <w:szCs w:val="32"/>
        </w:rPr>
      </w:pPr>
      <w:r>
        <w:rPr>
          <w:rFonts w:hint="eastAsia" w:ascii="仿宋_GB2312" w:eastAsia="仿宋_GB2312"/>
          <w:b/>
          <w:sz w:val="32"/>
          <w:szCs w:val="32"/>
        </w:rPr>
        <w:t>二、基本支出：</w:t>
      </w:r>
      <w:r>
        <w:rPr>
          <w:rFonts w:hint="eastAsia" w:ascii="仿宋_GB2312" w:eastAsia="仿宋_GB2312"/>
          <w:sz w:val="32"/>
          <w:szCs w:val="32"/>
        </w:rPr>
        <w:t>指单位为保障机构正常运转、完成日常工作任务而发生的各项支出。</w:t>
      </w:r>
    </w:p>
    <w:p w14:paraId="4D6266BB">
      <w:pPr>
        <w:ind w:firstLine="643" w:firstLineChars="200"/>
        <w:rPr>
          <w:rFonts w:ascii="仿宋_GB2312" w:eastAsia="仿宋_GB2312"/>
          <w:sz w:val="32"/>
          <w:szCs w:val="32"/>
        </w:rPr>
      </w:pPr>
      <w:r>
        <w:rPr>
          <w:rFonts w:hint="eastAsia" w:ascii="仿宋_GB2312" w:eastAsia="仿宋_GB2312"/>
          <w:b/>
          <w:sz w:val="32"/>
          <w:szCs w:val="32"/>
        </w:rPr>
        <w:t>三、项目支出：</w:t>
      </w:r>
      <w:r>
        <w:rPr>
          <w:rFonts w:hint="eastAsia" w:ascii="仿宋_GB2312" w:eastAsia="仿宋_GB2312"/>
          <w:sz w:val="32"/>
          <w:szCs w:val="32"/>
        </w:rPr>
        <w:t>指单位为完成特定的行政工作任务或事业发展目标，在基本支出之外发生的各项支出。</w:t>
      </w:r>
    </w:p>
    <w:p w14:paraId="3C7D7FE5">
      <w:pPr>
        <w:ind w:firstLine="643" w:firstLineChars="200"/>
        <w:rPr>
          <w:rFonts w:ascii="仿宋_GB2312" w:eastAsia="仿宋_GB2312"/>
          <w:sz w:val="32"/>
          <w:szCs w:val="32"/>
        </w:rPr>
      </w:pPr>
      <w:r>
        <w:rPr>
          <w:rFonts w:hint="eastAsia" w:ascii="仿宋_GB2312" w:eastAsia="仿宋_GB2312"/>
          <w:b/>
          <w:sz w:val="32"/>
          <w:szCs w:val="32"/>
        </w:rPr>
        <w:t>四、“三公”经费：</w:t>
      </w:r>
      <w:r>
        <w:rPr>
          <w:rFonts w:hint="eastAsia" w:ascii="仿宋_GB2312" w:eastAsia="仿宋_GB2312"/>
          <w:sz w:val="32"/>
          <w:szCs w:val="32"/>
        </w:rPr>
        <w:t>指部门使用一般公共预算、政府性基金预算和国有资本经营预算财政拨款安排的因公出国（境）费、公务用车购置及运行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费反映编制内公务车辆的报废更新，以及用于安排市内因公出差、公务文件交换、日常工作开展等所需公务用车燃料费、维修费、过路过桥费、保险费等支出。</w:t>
      </w:r>
    </w:p>
    <w:p w14:paraId="313E4666">
      <w:pPr>
        <w:ind w:firstLine="643" w:firstLineChars="200"/>
        <w:rPr>
          <w:rFonts w:ascii="仿宋_GB2312" w:eastAsia="仿宋_GB2312"/>
          <w:sz w:val="32"/>
          <w:szCs w:val="32"/>
        </w:rPr>
      </w:pPr>
      <w:r>
        <w:rPr>
          <w:rFonts w:hint="eastAsia" w:ascii="仿宋_GB2312" w:eastAsia="仿宋_GB2312"/>
          <w:b/>
          <w:sz w:val="32"/>
          <w:szCs w:val="32"/>
        </w:rPr>
        <w:t>五</w:t>
      </w:r>
      <w:r>
        <w:rPr>
          <w:rFonts w:ascii="仿宋_GB2312" w:eastAsia="仿宋_GB2312"/>
          <w:b/>
          <w:sz w:val="32"/>
          <w:szCs w:val="32"/>
        </w:rPr>
        <w:t>、</w:t>
      </w:r>
      <w:r>
        <w:rPr>
          <w:rFonts w:hint="eastAsia" w:ascii="仿宋_GB2312" w:eastAsia="仿宋_GB2312"/>
          <w:b/>
          <w:sz w:val="32"/>
          <w:szCs w:val="32"/>
        </w:rPr>
        <w:t xml:space="preserve">一般公共服务支出： </w:t>
      </w:r>
      <w:r>
        <w:rPr>
          <w:rFonts w:hint="eastAsia" w:ascii="仿宋_GB2312" w:eastAsia="仿宋_GB2312"/>
          <w:bCs/>
          <w:sz w:val="32"/>
          <w:szCs w:val="32"/>
        </w:rPr>
        <w:t>反映事业单位的基本支出，不包括行政单位（包括实行公务员管理的事业单位）后勤服务中心、医务室等附属事业单位</w:t>
      </w:r>
      <w:r>
        <w:rPr>
          <w:rFonts w:hint="eastAsia" w:ascii="仿宋_GB2312" w:eastAsia="仿宋_GB2312"/>
          <w:sz w:val="32"/>
          <w:szCs w:val="32"/>
        </w:rPr>
        <w:t>。</w:t>
      </w:r>
    </w:p>
    <w:p w14:paraId="48CA14BF">
      <w:pPr>
        <w:ind w:firstLine="643" w:firstLineChars="200"/>
        <w:rPr>
          <w:rFonts w:ascii="仿宋_GB2312" w:eastAsia="仿宋_GB2312"/>
          <w:sz w:val="32"/>
          <w:szCs w:val="32"/>
        </w:rPr>
      </w:pPr>
      <w:r>
        <w:rPr>
          <w:rFonts w:hint="eastAsia" w:ascii="仿宋_GB2312" w:eastAsia="仿宋_GB2312"/>
          <w:b/>
          <w:sz w:val="32"/>
          <w:szCs w:val="32"/>
        </w:rPr>
        <w:t>六</w:t>
      </w:r>
      <w:r>
        <w:rPr>
          <w:rFonts w:ascii="仿宋_GB2312" w:eastAsia="仿宋_GB2312"/>
          <w:b/>
          <w:sz w:val="32"/>
          <w:szCs w:val="32"/>
        </w:rPr>
        <w:t>、</w:t>
      </w:r>
      <w:r>
        <w:rPr>
          <w:rFonts w:hint="eastAsia" w:ascii="仿宋_GB2312" w:eastAsia="仿宋_GB2312"/>
          <w:b/>
          <w:sz w:val="32"/>
          <w:szCs w:val="32"/>
        </w:rPr>
        <w:t>社会保障和就业支出：</w:t>
      </w:r>
      <w:r>
        <w:rPr>
          <w:rFonts w:hint="eastAsia" w:ascii="仿宋_GB2312" w:eastAsia="仿宋_GB2312"/>
          <w:bCs/>
          <w:sz w:val="32"/>
          <w:szCs w:val="32"/>
        </w:rPr>
        <w:t>反映事业单位开支的离退休经费</w:t>
      </w:r>
      <w:r>
        <w:rPr>
          <w:rFonts w:hint="eastAsia" w:ascii="仿宋_GB2312" w:eastAsia="仿宋_GB2312"/>
          <w:sz w:val="32"/>
          <w:szCs w:val="32"/>
        </w:rPr>
        <w:t>;</w:t>
      </w:r>
      <w:r>
        <w:rPr>
          <w:rFonts w:hint="eastAsia" w:ascii="仿宋_GB2312" w:eastAsia="仿宋_GB2312"/>
          <w:bCs/>
          <w:sz w:val="32"/>
          <w:szCs w:val="32"/>
        </w:rPr>
        <w:t>反映机关事业单位实施养老保险制度由单位缴纳的基本养老保险费支出</w:t>
      </w:r>
      <w:r>
        <w:rPr>
          <w:rFonts w:hint="eastAsia" w:ascii="仿宋_GB2312" w:eastAsia="仿宋_GB2312"/>
          <w:sz w:val="32"/>
          <w:szCs w:val="32"/>
        </w:rPr>
        <w:t>;</w:t>
      </w:r>
      <w:r>
        <w:rPr>
          <w:rFonts w:hint="eastAsia" w:ascii="仿宋_GB2312" w:eastAsia="仿宋_GB2312"/>
          <w:bCs/>
          <w:sz w:val="32"/>
          <w:szCs w:val="32"/>
        </w:rPr>
        <w:t>反映机关事业单位实施养老保险制度由单位实际缴纳的职业年金支出</w:t>
      </w:r>
      <w:r>
        <w:rPr>
          <w:rFonts w:hint="eastAsia" w:ascii="仿宋_GB2312" w:eastAsia="仿宋_GB2312"/>
          <w:sz w:val="32"/>
          <w:szCs w:val="32"/>
        </w:rPr>
        <w:t>。</w:t>
      </w:r>
    </w:p>
    <w:p w14:paraId="4D49ECDB">
      <w:pPr>
        <w:ind w:firstLine="643" w:firstLineChars="200"/>
        <w:rPr>
          <w:rFonts w:ascii="仿宋_GB2312" w:eastAsia="仿宋_GB2312"/>
          <w:sz w:val="32"/>
          <w:szCs w:val="32"/>
        </w:rPr>
      </w:pPr>
      <w:r>
        <w:rPr>
          <w:rFonts w:hint="eastAsia" w:ascii="仿宋_GB2312" w:eastAsia="仿宋_GB2312"/>
          <w:b/>
          <w:sz w:val="32"/>
          <w:szCs w:val="32"/>
        </w:rPr>
        <w:t>七</w:t>
      </w:r>
      <w:r>
        <w:rPr>
          <w:rFonts w:ascii="仿宋_GB2312" w:eastAsia="仿宋_GB2312"/>
          <w:b/>
          <w:sz w:val="32"/>
          <w:szCs w:val="32"/>
        </w:rPr>
        <w:t>、</w:t>
      </w:r>
      <w:r>
        <w:rPr>
          <w:rFonts w:hint="eastAsia" w:ascii="仿宋_GB2312" w:eastAsia="仿宋_GB2312"/>
          <w:b/>
          <w:sz w:val="32"/>
          <w:szCs w:val="32"/>
        </w:rPr>
        <w:t xml:space="preserve">卫生健康支出： </w:t>
      </w:r>
      <w:r>
        <w:rPr>
          <w:rFonts w:hint="eastAsia" w:ascii="仿宋_GB2312" w:eastAsia="仿宋_GB2312"/>
          <w:bCs/>
          <w:sz w:val="32"/>
          <w:szCs w:val="32"/>
        </w:rPr>
        <w:t>反映财政部门安排的事业单位基本医疗保险缴费经费，未参加医疗保险的事业单位的公费医疗经费，按国家规定享受离休人员待遇的医疗经费</w:t>
      </w:r>
      <w:r>
        <w:rPr>
          <w:rFonts w:hint="eastAsia" w:ascii="仿宋_GB2312" w:eastAsia="仿宋_GB2312"/>
          <w:sz w:val="32"/>
          <w:szCs w:val="32"/>
        </w:rPr>
        <w:t>；</w:t>
      </w:r>
      <w:r>
        <w:rPr>
          <w:rFonts w:hint="eastAsia" w:ascii="仿宋_GB2312" w:eastAsia="仿宋_GB2312"/>
          <w:bCs/>
          <w:sz w:val="32"/>
          <w:szCs w:val="32"/>
        </w:rPr>
        <w:t>反映财政部门安排的公务员医疗补助经费</w:t>
      </w:r>
      <w:r>
        <w:rPr>
          <w:rFonts w:hint="eastAsia" w:ascii="仿宋_GB2312" w:eastAsia="仿宋_GB2312"/>
          <w:sz w:val="32"/>
          <w:szCs w:val="32"/>
        </w:rPr>
        <w:t>。</w:t>
      </w:r>
    </w:p>
    <w:p w14:paraId="2FA70B45">
      <w:pPr>
        <w:ind w:firstLine="643" w:firstLineChars="200"/>
        <w:rPr>
          <w:rFonts w:ascii="仿宋_GB2312" w:eastAsia="仿宋_GB2312"/>
          <w:sz w:val="32"/>
          <w:szCs w:val="32"/>
        </w:rPr>
      </w:pPr>
      <w:r>
        <w:rPr>
          <w:rFonts w:hint="eastAsia" w:ascii="仿宋_GB2312" w:eastAsia="仿宋_GB2312"/>
          <w:b/>
          <w:sz w:val="32"/>
          <w:szCs w:val="32"/>
        </w:rPr>
        <w:t>十一</w:t>
      </w:r>
      <w:r>
        <w:rPr>
          <w:rFonts w:ascii="仿宋_GB2312" w:eastAsia="仿宋_GB2312"/>
          <w:b/>
          <w:sz w:val="32"/>
          <w:szCs w:val="32"/>
        </w:rPr>
        <w:t>、</w:t>
      </w:r>
      <w:r>
        <w:rPr>
          <w:rFonts w:hint="eastAsia" w:ascii="仿宋_GB2312" w:eastAsia="仿宋_GB2312"/>
          <w:b/>
          <w:sz w:val="32"/>
          <w:szCs w:val="32"/>
        </w:rPr>
        <w:t>住房保障支出：</w:t>
      </w:r>
      <w:r>
        <w:rPr>
          <w:rFonts w:hint="eastAsia" w:ascii="仿宋_GB2312" w:eastAsia="仿宋_GB2312"/>
          <w:bCs/>
          <w:sz w:val="32"/>
          <w:szCs w:val="32"/>
        </w:rPr>
        <w:t>反映行政事业单位按人力资源和社会保障部、财政部规定的基本工资和津贴补贴以及规定比例为职工缴纳的住房公积金</w:t>
      </w:r>
      <w:r>
        <w:rPr>
          <w:rFonts w:hint="eastAsia" w:ascii="仿宋_GB2312" w:eastAsia="仿宋_GB2312"/>
          <w:sz w:val="32"/>
          <w:szCs w:val="32"/>
        </w:rPr>
        <w:t>；反映按房改政策规定的标准，行政事业单位向职工（含离退休人员）发放的租金补贴。</w:t>
      </w:r>
    </w:p>
    <w:p w14:paraId="1B38BE72">
      <w:pPr>
        <w:widowControl/>
        <w:spacing w:line="330" w:lineRule="atLeast"/>
        <w:ind w:firstLine="600" w:firstLineChars="200"/>
        <w:jc w:val="left"/>
        <w:rPr>
          <w:rFonts w:ascii="仿宋" w:hAnsi="仿宋" w:eastAsia="仿宋" w:cs="仿宋"/>
          <w:color w:val="000000"/>
          <w:kern w:val="0"/>
          <w:sz w:val="30"/>
          <w:szCs w:val="30"/>
        </w:rPr>
      </w:pPr>
    </w:p>
    <w:p w14:paraId="3E3D9843">
      <w:pPr>
        <w:widowControl/>
        <w:spacing w:line="330" w:lineRule="atLeast"/>
        <w:ind w:firstLine="600" w:firstLineChars="200"/>
        <w:jc w:val="left"/>
        <w:rPr>
          <w:rFonts w:ascii="仿宋" w:hAnsi="仿宋" w:eastAsia="仿宋" w:cs="仿宋"/>
          <w:color w:val="000000"/>
          <w:kern w:val="0"/>
          <w:sz w:val="30"/>
          <w:szCs w:val="30"/>
        </w:rPr>
      </w:pPr>
    </w:p>
    <w:p w14:paraId="69B6BD5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4</w:t>
      </w:r>
      <w:bookmarkStart w:id="0" w:name="_GoBack"/>
      <w:bookmarkEnd w:id="0"/>
      <w:r>
        <w:rPr>
          <w:rFonts w:hint="eastAsia" w:ascii="仿宋" w:hAnsi="仿宋" w:eastAsia="仿宋" w:cs="仿宋"/>
          <w:color w:val="000000"/>
          <w:kern w:val="0"/>
          <w:sz w:val="30"/>
          <w:szCs w:val="30"/>
        </w:rPr>
        <w:t>年2月</w:t>
      </w: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日</w:t>
      </w:r>
    </w:p>
    <w:p w14:paraId="149537D5">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F0432">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14:paraId="516B0C7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C5A1D">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CED65C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5DF47"/>
    <w:multiLevelType w:val="singleLevel"/>
    <w:tmpl w:val="CD95DF47"/>
    <w:lvl w:ilvl="0" w:tentative="0">
      <w:start w:val="1"/>
      <w:numFmt w:val="chineseCounting"/>
      <w:suff w:val="nothing"/>
      <w:lvlText w:val="%1、"/>
      <w:lvlJc w:val="left"/>
      <w:rPr>
        <w:rFonts w:hint="eastAsia"/>
      </w:rPr>
    </w:lvl>
  </w:abstractNum>
  <w:abstractNum w:abstractNumId="1">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02C9C"/>
    <w:rsid w:val="00224F6B"/>
    <w:rsid w:val="00264775"/>
    <w:rsid w:val="00265F8B"/>
    <w:rsid w:val="00275DE8"/>
    <w:rsid w:val="002777B6"/>
    <w:rsid w:val="00282281"/>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4F0F"/>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317DD"/>
    <w:rsid w:val="00441EBD"/>
    <w:rsid w:val="00446707"/>
    <w:rsid w:val="00447DC8"/>
    <w:rsid w:val="00461005"/>
    <w:rsid w:val="0047716E"/>
    <w:rsid w:val="00495D34"/>
    <w:rsid w:val="004A7158"/>
    <w:rsid w:val="004B603D"/>
    <w:rsid w:val="004D7EA6"/>
    <w:rsid w:val="004E350F"/>
    <w:rsid w:val="004F7A6E"/>
    <w:rsid w:val="00502BB0"/>
    <w:rsid w:val="005040D0"/>
    <w:rsid w:val="005132D7"/>
    <w:rsid w:val="0053368A"/>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6F6659"/>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B468B"/>
    <w:rsid w:val="007C5E3C"/>
    <w:rsid w:val="007C73E6"/>
    <w:rsid w:val="007D0C23"/>
    <w:rsid w:val="007E5065"/>
    <w:rsid w:val="007F23D9"/>
    <w:rsid w:val="007F41FC"/>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5CCC"/>
    <w:rsid w:val="00AA73C6"/>
    <w:rsid w:val="00AC7B47"/>
    <w:rsid w:val="00AE72D3"/>
    <w:rsid w:val="00AE7779"/>
    <w:rsid w:val="00B07BF3"/>
    <w:rsid w:val="00B20EC3"/>
    <w:rsid w:val="00B217F1"/>
    <w:rsid w:val="00B3394E"/>
    <w:rsid w:val="00B40E6C"/>
    <w:rsid w:val="00B42381"/>
    <w:rsid w:val="00B4656B"/>
    <w:rsid w:val="00B607B9"/>
    <w:rsid w:val="00B6416E"/>
    <w:rsid w:val="00B7118F"/>
    <w:rsid w:val="00B85766"/>
    <w:rsid w:val="00BA1406"/>
    <w:rsid w:val="00BE53AA"/>
    <w:rsid w:val="00BE7732"/>
    <w:rsid w:val="00BF5A10"/>
    <w:rsid w:val="00C00895"/>
    <w:rsid w:val="00C0387D"/>
    <w:rsid w:val="00C052C0"/>
    <w:rsid w:val="00C052EC"/>
    <w:rsid w:val="00C14319"/>
    <w:rsid w:val="00C2154B"/>
    <w:rsid w:val="00C3494E"/>
    <w:rsid w:val="00C403F4"/>
    <w:rsid w:val="00C52D9E"/>
    <w:rsid w:val="00C56392"/>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31E15"/>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1099"/>
    <w:rsid w:val="00EB6E55"/>
    <w:rsid w:val="00EC4F04"/>
    <w:rsid w:val="00EE134B"/>
    <w:rsid w:val="00F01060"/>
    <w:rsid w:val="00F02366"/>
    <w:rsid w:val="00F11659"/>
    <w:rsid w:val="00F168F1"/>
    <w:rsid w:val="00F251AC"/>
    <w:rsid w:val="00F2611C"/>
    <w:rsid w:val="00F60856"/>
    <w:rsid w:val="00F713C4"/>
    <w:rsid w:val="00F76F83"/>
    <w:rsid w:val="00F80042"/>
    <w:rsid w:val="00F865EB"/>
    <w:rsid w:val="00F94B86"/>
    <w:rsid w:val="00F9503D"/>
    <w:rsid w:val="00FC3253"/>
    <w:rsid w:val="00FC5228"/>
    <w:rsid w:val="00FD042E"/>
    <w:rsid w:val="00FD31AB"/>
    <w:rsid w:val="00FD7251"/>
    <w:rsid w:val="00FE7CC4"/>
    <w:rsid w:val="00FF27E7"/>
    <w:rsid w:val="04062E0E"/>
    <w:rsid w:val="07424CE5"/>
    <w:rsid w:val="0E6A46D2"/>
    <w:rsid w:val="19411027"/>
    <w:rsid w:val="21D96333"/>
    <w:rsid w:val="242C3C7F"/>
    <w:rsid w:val="287A0545"/>
    <w:rsid w:val="2D65543B"/>
    <w:rsid w:val="40435681"/>
    <w:rsid w:val="46D6135B"/>
    <w:rsid w:val="471338C7"/>
    <w:rsid w:val="48B4226E"/>
    <w:rsid w:val="498B571A"/>
    <w:rsid w:val="4AE11787"/>
    <w:rsid w:val="4BDE72BE"/>
    <w:rsid w:val="4DF00C86"/>
    <w:rsid w:val="55A6769E"/>
    <w:rsid w:val="7AE74C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autoRedefine/>
    <w:qFormat/>
    <w:uiPriority w:val="99"/>
    <w:pPr>
      <w:tabs>
        <w:tab w:val="center" w:pos="4153"/>
        <w:tab w:val="right" w:pos="8306"/>
      </w:tabs>
      <w:snapToGrid w:val="0"/>
      <w:jc w:val="left"/>
    </w:pPr>
    <w:rPr>
      <w:kern w:val="0"/>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autoRedefine/>
    <w:qFormat/>
    <w:uiPriority w:val="99"/>
    <w:rPr>
      <w:rFonts w:cs="Times New Roman"/>
    </w:rPr>
  </w:style>
  <w:style w:type="character" w:customStyle="1" w:styleId="8">
    <w:name w:val="页眉 字符"/>
    <w:link w:val="4"/>
    <w:autoRedefine/>
    <w:semiHidden/>
    <w:qFormat/>
    <w:locked/>
    <w:uiPriority w:val="99"/>
    <w:rPr>
      <w:rFonts w:ascii="Times New Roman" w:hAnsi="Times New Roman" w:eastAsia="宋体" w:cs="Times New Roman"/>
      <w:sz w:val="18"/>
      <w:szCs w:val="18"/>
    </w:rPr>
  </w:style>
  <w:style w:type="character" w:customStyle="1" w:styleId="9">
    <w:name w:val="页脚 字符"/>
    <w:link w:val="3"/>
    <w:autoRedefine/>
    <w:semiHidden/>
    <w:qFormat/>
    <w:locked/>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2004</Words>
  <Characters>2092</Characters>
  <Lines>17</Lines>
  <Paragraphs>4</Paragraphs>
  <TotalTime>1</TotalTime>
  <ScaleCrop>false</ScaleCrop>
  <LinksUpToDate>false</LinksUpToDate>
  <CharactersWithSpaces>2356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2025-02-07T09:26:00Z</dcterms:created>
  <dc:creator>Custmor</dc:creator>
  <cp:lastModifiedBy>admin</cp:lastModifiedBy>
  <cp:lastPrinted>2025-02-14T05:50:00Z</cp:lastPrinted>
  <dcterms:modified xsi:type="dcterms:W3CDTF">2025-05-09T06:26:52Z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