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F5644">
      <w:pPr>
        <w:spacing w:line="600" w:lineRule="exact"/>
        <w:rPr>
          <w:rFonts w:ascii="仿宋_GB2312" w:eastAsia="仿宋_GB2312"/>
          <w:sz w:val="32"/>
          <w:szCs w:val="32"/>
        </w:rPr>
      </w:pPr>
    </w:p>
    <w:p w14:paraId="7DC93D00">
      <w:pPr>
        <w:keepNext w:val="0"/>
        <w:keepLines w:val="0"/>
        <w:pageBreakBefore w:val="0"/>
        <w:widowControl/>
        <w:kinsoku/>
        <w:wordWrap/>
        <w:overflowPunct/>
        <w:topLinePunct w:val="0"/>
        <w:autoSpaceDE/>
        <w:autoSpaceDN/>
        <w:bidi w:val="0"/>
        <w:spacing w:line="560" w:lineRule="exact"/>
        <w:jc w:val="center"/>
        <w:textAlignment w:val="auto"/>
        <w:rPr>
          <w:rFonts w:hint="default" w:cs="仿宋" w:asciiTheme="minorEastAsia" w:hAnsiTheme="minorEastAsia" w:eastAsiaTheme="minorEastAsia"/>
          <w:b/>
          <w:bCs/>
          <w:sz w:val="36"/>
          <w:szCs w:val="36"/>
          <w:lang w:val="en-US" w:eastAsia="zh-CN"/>
        </w:rPr>
      </w:pPr>
      <w:r>
        <w:rPr>
          <w:rFonts w:hint="eastAsia" w:cs="仿宋" w:asciiTheme="minorEastAsia" w:hAnsiTheme="minorEastAsia" w:eastAsiaTheme="minorEastAsia"/>
          <w:b/>
          <w:bCs/>
          <w:sz w:val="36"/>
          <w:szCs w:val="36"/>
        </w:rPr>
        <w:t>大连高新技术产业园区</w:t>
      </w:r>
      <w:r>
        <w:rPr>
          <w:rFonts w:hint="eastAsia" w:cs="仿宋" w:asciiTheme="minorEastAsia" w:hAnsiTheme="minorEastAsia" w:eastAsiaTheme="minorEastAsia"/>
          <w:b/>
          <w:bCs/>
          <w:sz w:val="36"/>
          <w:szCs w:val="36"/>
          <w:lang w:val="en-US" w:eastAsia="zh-CN"/>
        </w:rPr>
        <w:t>经济发展局</w:t>
      </w:r>
    </w:p>
    <w:p w14:paraId="11EE6FDB">
      <w:pPr>
        <w:keepNext w:val="0"/>
        <w:keepLines w:val="0"/>
        <w:pageBreakBefore w:val="0"/>
        <w:widowControl/>
        <w:kinsoku/>
        <w:wordWrap/>
        <w:overflowPunct/>
        <w:topLinePunct w:val="0"/>
        <w:autoSpaceDE/>
        <w:autoSpaceDN/>
        <w:bidi w:val="0"/>
        <w:spacing w:line="560" w:lineRule="exact"/>
        <w:jc w:val="center"/>
        <w:textAlignment w:val="auto"/>
        <w:rPr>
          <w:rFonts w:asciiTheme="minorEastAsia" w:hAnsiTheme="minorEastAsia" w:eastAsiaTheme="minorEastAsia"/>
          <w:b/>
          <w:bCs/>
          <w:sz w:val="36"/>
          <w:szCs w:val="36"/>
        </w:rPr>
      </w:pPr>
      <w:r>
        <w:rPr>
          <w:rFonts w:hint="eastAsia" w:cs="仿宋" w:asciiTheme="minorEastAsia" w:hAnsiTheme="minorEastAsia" w:eastAsiaTheme="minorEastAsia"/>
          <w:b/>
          <w:bCs/>
          <w:sz w:val="36"/>
          <w:szCs w:val="36"/>
        </w:rPr>
        <w:t>20</w:t>
      </w:r>
      <w:r>
        <w:rPr>
          <w:rFonts w:hint="eastAsia" w:cs="仿宋" w:asciiTheme="minorEastAsia" w:hAnsiTheme="minorEastAsia" w:eastAsiaTheme="minorEastAsia"/>
          <w:b/>
          <w:bCs/>
          <w:sz w:val="36"/>
          <w:szCs w:val="36"/>
          <w:lang w:val="en-US" w:eastAsia="zh-CN"/>
        </w:rPr>
        <w:t>24</w:t>
      </w:r>
      <w:r>
        <w:rPr>
          <w:rFonts w:hint="eastAsia" w:cs="仿宋" w:asciiTheme="minorEastAsia" w:hAnsiTheme="minorEastAsia" w:eastAsiaTheme="minorEastAsia"/>
          <w:b/>
          <w:bCs/>
          <w:color w:val="000000"/>
          <w:kern w:val="0"/>
          <w:sz w:val="36"/>
          <w:szCs w:val="36"/>
        </w:rPr>
        <w:t>年部门预算</w:t>
      </w:r>
    </w:p>
    <w:p w14:paraId="3715CC1C">
      <w:pPr>
        <w:keepNext w:val="0"/>
        <w:keepLines w:val="0"/>
        <w:pageBreakBefore w:val="0"/>
        <w:widowControl/>
        <w:kinsoku/>
        <w:wordWrap/>
        <w:overflowPunct/>
        <w:topLinePunct w:val="0"/>
        <w:autoSpaceDE/>
        <w:autoSpaceDN/>
        <w:bidi w:val="0"/>
        <w:spacing w:line="560" w:lineRule="exact"/>
        <w:ind w:firstLine="602" w:firstLineChars="200"/>
        <w:jc w:val="left"/>
        <w:textAlignment w:val="auto"/>
        <w:rPr>
          <w:rFonts w:ascii="仿宋" w:hAnsi="仿宋" w:eastAsia="仿宋"/>
          <w:b/>
          <w:bCs/>
          <w:sz w:val="30"/>
          <w:szCs w:val="30"/>
        </w:rPr>
      </w:pPr>
      <w:r>
        <w:rPr>
          <w:rFonts w:ascii="仿宋" w:hAnsi="仿宋" w:eastAsia="仿宋" w:cs="仿宋"/>
          <w:b/>
          <w:bCs/>
          <w:sz w:val="30"/>
          <w:szCs w:val="30"/>
        </w:rPr>
        <w:t xml:space="preserve">                                                                                                                                                                                                                                  </w:t>
      </w:r>
    </w:p>
    <w:p w14:paraId="1744E79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第一部分 部门概况</w:t>
      </w:r>
    </w:p>
    <w:p w14:paraId="7C7BF964">
      <w:pPr>
        <w:keepNext w:val="0"/>
        <w:keepLines w:val="0"/>
        <w:pageBreakBefore w:val="0"/>
        <w:widowControl/>
        <w:numPr>
          <w:ilvl w:val="0"/>
          <w:numId w:val="1"/>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主要职责</w:t>
      </w:r>
    </w:p>
    <w:p w14:paraId="2837E07E">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lang w:eastAsia="zh-CN"/>
        </w:rPr>
        <w:t>（</w:t>
      </w:r>
      <w:r>
        <w:rPr>
          <w:rFonts w:hint="eastAsia" w:ascii="仿宋" w:hAnsi="仿宋" w:eastAsia="仿宋" w:cs="Times New Roman"/>
          <w:sz w:val="32"/>
          <w:szCs w:val="32"/>
          <w:highlight w:val="none"/>
          <w:lang w:val="en-US" w:eastAsia="zh-CN"/>
        </w:rPr>
        <w:t>一）</w:t>
      </w:r>
      <w:r>
        <w:rPr>
          <w:rFonts w:hint="eastAsia" w:ascii="仿宋" w:hAnsi="仿宋" w:eastAsia="仿宋" w:cs="Times New Roman"/>
          <w:sz w:val="32"/>
          <w:szCs w:val="32"/>
          <w:highlight w:val="none"/>
        </w:rPr>
        <w:t>负责全区发改、工信、统计、</w:t>
      </w:r>
      <w:r>
        <w:rPr>
          <w:rFonts w:hint="eastAsia" w:ascii="仿宋" w:hAnsi="仿宋" w:eastAsia="仿宋" w:cs="Times New Roman"/>
          <w:sz w:val="32"/>
          <w:szCs w:val="32"/>
          <w:highlight w:val="none"/>
          <w:lang w:val="en-US" w:eastAsia="zh-CN"/>
        </w:rPr>
        <w:t>JM</w:t>
      </w:r>
      <w:r>
        <w:rPr>
          <w:rFonts w:hint="eastAsia" w:ascii="仿宋" w:hAnsi="仿宋" w:eastAsia="仿宋" w:cs="Times New Roman"/>
          <w:sz w:val="32"/>
          <w:szCs w:val="32"/>
          <w:highlight w:val="none"/>
        </w:rPr>
        <w:t>融合等相关工作。</w:t>
      </w:r>
    </w:p>
    <w:p w14:paraId="03D26196">
      <w:pPr>
        <w:keepNext w:val="0"/>
        <w:keepLines w:val="0"/>
        <w:pageBreakBefore w:val="0"/>
        <w:widowControl w:val="0"/>
        <w:kinsoku/>
        <w:wordWrap/>
        <w:overflowPunct/>
        <w:topLinePunct w:val="0"/>
        <w:autoSpaceDE/>
        <w:autoSpaceDN/>
        <w:bidi w:val="0"/>
        <w:adjustRightInd w:val="0"/>
        <w:snapToGrid w:val="0"/>
        <w:spacing w:after="0" w:line="560" w:lineRule="exact"/>
        <w:ind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二）拟订并组织实施全区国民经济和社会发展战略、中长期规划和年度计划，统筹协调全区经济社会发展总体规划、专项规划、区域规划，衔接需要安排管委会投资和涉及重大项目的规划。起草全区国民经济和社会发展、经济体制改革等文件草案。</w:t>
      </w:r>
    </w:p>
    <w:p w14:paraId="19A0F9DD">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(三）统筹协调全区经济社会发展，研判经济发展趋势，负责监测全区宏观经济和社会发展态势，研究宏观经济运行、总量平衡等重要问题并提出宏观调控政策建议。</w:t>
      </w:r>
    </w:p>
    <w:p w14:paraId="6F22C501">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四）承担全区固定资产投资综合管理职责，拟订全区固定资产投资总规模和投资结构的调控目标、政策措施。按权限对全区企业投资项目进行核准、备案，负责编制区本级政府投资计划，对区政府投资项目进行审批。协调组织各部门做好国家、省、市各类扶持资金的申报工作。</w:t>
      </w:r>
    </w:p>
    <w:p w14:paraId="72BF5F0A">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(五）负责全区社会信用体系建设和综合管理工作，推进社会信用体系建设。</w:t>
      </w:r>
    </w:p>
    <w:p w14:paraId="4C36DCEA">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(六）贯彻落实并组织实施国家、省、市价格政策、收费政策，开展价格认定工作。</w:t>
      </w:r>
    </w:p>
    <w:p w14:paraId="7CB38902">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(七）贯彻执行国家的基本统计制度、统计标准和统计指标体系；组织领导和协调全区统计工作；统一核定、管理、发布全区性基本统计资料，定期发布全区国民经济和社会发展情况的统计信息。</w:t>
      </w:r>
    </w:p>
    <w:p w14:paraId="1A2C9D11">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八）贯彻执行上级工业和信息产业发展的方针、政策和法律、法规、规章；落实工业和信息产业技术创新工作，指导各级各类工业和信息产业计划项目申报。负责全区工业和信息行业管理，监测分析运行态势和发展趋势，协调解决有关问题并提出政策建议。负责指导全区技术改造项目备案工作。负责指导全区中小企业创新发展工作。</w:t>
      </w:r>
    </w:p>
    <w:p w14:paraId="24CD41B7">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highlight w:val="none"/>
        </w:rPr>
      </w:pPr>
      <w:r>
        <w:rPr>
          <w:rFonts w:hint="eastAsia" w:ascii="仿宋" w:hAnsi="仿宋" w:eastAsia="仿宋" w:cs="Times New Roman"/>
          <w:sz w:val="32"/>
          <w:szCs w:val="32"/>
          <w:highlight w:val="none"/>
        </w:rPr>
        <w:t>(九）贯彻落实中央</w:t>
      </w:r>
      <w:r>
        <w:rPr>
          <w:rFonts w:hint="eastAsia" w:ascii="仿宋" w:hAnsi="仿宋" w:eastAsia="仿宋" w:cs="Times New Roman"/>
          <w:sz w:val="32"/>
          <w:szCs w:val="32"/>
          <w:highlight w:val="none"/>
          <w:lang w:val="en-US" w:eastAsia="zh-CN"/>
        </w:rPr>
        <w:t>JM</w:t>
      </w:r>
      <w:r>
        <w:rPr>
          <w:rFonts w:hint="eastAsia" w:ascii="仿宋" w:hAnsi="仿宋" w:eastAsia="仿宋" w:cs="Times New Roman"/>
          <w:sz w:val="32"/>
          <w:szCs w:val="32"/>
          <w:highlight w:val="none"/>
        </w:rPr>
        <w:t>融合发展和改革方针、政策、规定，综合协调</w:t>
      </w:r>
      <w:r>
        <w:rPr>
          <w:rFonts w:hint="eastAsia" w:ascii="仿宋" w:hAnsi="仿宋" w:eastAsia="仿宋" w:cs="Times New Roman"/>
          <w:sz w:val="32"/>
          <w:szCs w:val="32"/>
          <w:highlight w:val="none"/>
          <w:lang w:val="en-US" w:eastAsia="zh-CN"/>
        </w:rPr>
        <w:t>JM</w:t>
      </w:r>
      <w:r>
        <w:rPr>
          <w:rFonts w:hint="eastAsia" w:ascii="仿宋" w:hAnsi="仿宋" w:eastAsia="仿宋" w:cs="Times New Roman"/>
          <w:sz w:val="32"/>
          <w:szCs w:val="32"/>
          <w:highlight w:val="none"/>
        </w:rPr>
        <w:t>融合发展工作。</w:t>
      </w:r>
    </w:p>
    <w:p w14:paraId="11604355">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Times New Roman"/>
          <w:sz w:val="32"/>
          <w:szCs w:val="32"/>
          <w:highlight w:val="none"/>
        </w:rPr>
      </w:pPr>
      <w:r>
        <w:rPr>
          <w:rFonts w:hint="eastAsia" w:ascii="仿宋" w:hAnsi="仿宋" w:eastAsia="仿宋" w:cs="Times New Roman"/>
          <w:sz w:val="32"/>
          <w:szCs w:val="32"/>
          <w:highlight w:val="none"/>
        </w:rPr>
        <w:t>(十）完成区党工委、管委会交办的其他工作。</w:t>
      </w:r>
    </w:p>
    <w:p w14:paraId="51EE54EC">
      <w:pPr>
        <w:keepNext w:val="0"/>
        <w:keepLines w:val="0"/>
        <w:pageBreakBefore w:val="0"/>
        <w:widowControl/>
        <w:numPr>
          <w:ilvl w:val="0"/>
          <w:numId w:val="1"/>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部门预算单位构成</w:t>
      </w:r>
    </w:p>
    <w:p w14:paraId="7A50CB0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黑体"/>
          <w:sz w:val="32"/>
          <w:szCs w:val="32"/>
          <w:highlight w:val="none"/>
        </w:rPr>
      </w:pPr>
      <w:r>
        <w:rPr>
          <w:rFonts w:hint="eastAsia" w:ascii="仿宋_GB2312" w:hAnsi="Calibri" w:eastAsia="仿宋_GB2312" w:cs="黑体"/>
          <w:sz w:val="32"/>
          <w:szCs w:val="32"/>
          <w:highlight w:val="none"/>
        </w:rPr>
        <w:t>从预算单位构成看，</w:t>
      </w:r>
      <w:r>
        <w:rPr>
          <w:rFonts w:hint="eastAsia" w:ascii="仿宋_GB2312" w:hAnsi="宋体" w:eastAsia="仿宋_GB2312" w:cs="黑体"/>
          <w:sz w:val="32"/>
          <w:szCs w:val="32"/>
          <w:highlight w:val="none"/>
        </w:rPr>
        <w:t>大连</w:t>
      </w:r>
      <w:r>
        <w:rPr>
          <w:rFonts w:hint="eastAsia" w:ascii="仿宋_GB2312" w:hAnsi="仿宋_GB2312" w:eastAsia="仿宋_GB2312" w:cs="仿宋_GB2312"/>
          <w:sz w:val="32"/>
          <w:szCs w:val="32"/>
          <w:highlight w:val="none"/>
        </w:rPr>
        <w:t>高新技术产业园区</w:t>
      </w:r>
      <w:r>
        <w:rPr>
          <w:rFonts w:hint="eastAsia" w:ascii="仿宋_GB2312" w:hAnsi="仿宋_GB2312" w:eastAsia="仿宋_GB2312" w:cs="仿宋_GB2312"/>
          <w:sz w:val="32"/>
          <w:szCs w:val="32"/>
          <w:highlight w:val="none"/>
          <w:lang w:eastAsia="zh-CN"/>
        </w:rPr>
        <w:t>经济发展</w:t>
      </w:r>
      <w:r>
        <w:rPr>
          <w:rFonts w:hint="eastAsia" w:ascii="仿宋_GB2312" w:hAnsi="宋体" w:eastAsia="仿宋_GB2312" w:cs="黑体"/>
          <w:sz w:val="32"/>
          <w:szCs w:val="32"/>
          <w:highlight w:val="none"/>
        </w:rPr>
        <w:t>局部门</w:t>
      </w:r>
      <w:r>
        <w:rPr>
          <w:rFonts w:hint="eastAsia" w:ascii="仿宋_GB2312" w:hAnsi="Calibri" w:eastAsia="仿宋_GB2312" w:cs="黑体"/>
          <w:sz w:val="32"/>
          <w:szCs w:val="32"/>
          <w:highlight w:val="none"/>
        </w:rPr>
        <w:t>决算</w:t>
      </w:r>
      <w:r>
        <w:rPr>
          <w:rFonts w:hint="eastAsia" w:ascii="仿宋_GB2312" w:hAnsi="Calibri" w:eastAsia="仿宋_GB2312" w:cs="黑体"/>
          <w:sz w:val="32"/>
          <w:szCs w:val="32"/>
          <w:highlight w:val="none"/>
          <w:lang w:val="en-US" w:eastAsia="zh-CN"/>
        </w:rPr>
        <w:t>仅包括</w:t>
      </w:r>
      <w:r>
        <w:rPr>
          <w:rFonts w:hint="eastAsia" w:ascii="仿宋_GB2312" w:hAnsi="仿宋_GB2312" w:eastAsia="仿宋_GB2312" w:cs="仿宋_GB2312"/>
          <w:sz w:val="32"/>
          <w:szCs w:val="32"/>
          <w:highlight w:val="none"/>
          <w:lang w:eastAsia="zh-CN"/>
        </w:rPr>
        <w:t>经济发展</w:t>
      </w:r>
      <w:r>
        <w:rPr>
          <w:rFonts w:hint="eastAsia" w:ascii="仿宋_GB2312" w:hAnsi="宋体" w:eastAsia="仿宋_GB2312" w:cs="黑体"/>
          <w:sz w:val="32"/>
          <w:szCs w:val="32"/>
          <w:highlight w:val="none"/>
        </w:rPr>
        <w:t>局</w:t>
      </w:r>
      <w:r>
        <w:rPr>
          <w:rFonts w:hint="eastAsia" w:ascii="仿宋_GB2312" w:hAnsi="Calibri" w:eastAsia="仿宋_GB2312" w:cs="黑体"/>
          <w:sz w:val="32"/>
          <w:szCs w:val="32"/>
          <w:highlight w:val="none"/>
        </w:rPr>
        <w:t>本级</w:t>
      </w:r>
      <w:r>
        <w:rPr>
          <w:rFonts w:hint="eastAsia" w:ascii="仿宋_GB2312" w:hAnsi="Calibri" w:eastAsia="仿宋_GB2312" w:cs="黑体"/>
          <w:sz w:val="32"/>
          <w:szCs w:val="32"/>
          <w:highlight w:val="none"/>
          <w:lang w:eastAsia="zh-CN"/>
        </w:rPr>
        <w:t>，</w:t>
      </w:r>
      <w:r>
        <w:rPr>
          <w:rFonts w:hint="eastAsia" w:ascii="仿宋_GB2312" w:hAnsi="Calibri" w:eastAsia="仿宋_GB2312" w:cs="黑体"/>
          <w:sz w:val="32"/>
          <w:szCs w:val="32"/>
          <w:highlight w:val="none"/>
          <w:lang w:val="en-US" w:eastAsia="zh-CN"/>
        </w:rPr>
        <w:t>无</w:t>
      </w:r>
      <w:r>
        <w:rPr>
          <w:rFonts w:hint="eastAsia" w:ascii="仿宋_GB2312" w:hAnsi="Calibri" w:eastAsia="仿宋_GB2312" w:cs="黑体"/>
          <w:sz w:val="32"/>
          <w:szCs w:val="32"/>
          <w:highlight w:val="none"/>
        </w:rPr>
        <w:t>下属</w:t>
      </w:r>
      <w:r>
        <w:rPr>
          <w:rFonts w:hint="eastAsia" w:ascii="仿宋_GB2312" w:hAnsi="宋体" w:eastAsia="仿宋_GB2312" w:cs="黑体"/>
          <w:sz w:val="32"/>
          <w:szCs w:val="32"/>
          <w:highlight w:val="none"/>
        </w:rPr>
        <w:t>行政</w:t>
      </w:r>
      <w:r>
        <w:rPr>
          <w:rFonts w:hint="eastAsia" w:ascii="仿宋_GB2312" w:hAnsi="Calibri" w:eastAsia="仿宋_GB2312" w:cs="黑体"/>
          <w:sz w:val="32"/>
          <w:szCs w:val="32"/>
          <w:highlight w:val="none"/>
        </w:rPr>
        <w:t>事业单位。</w:t>
      </w:r>
    </w:p>
    <w:p w14:paraId="1A949A60">
      <w:pPr>
        <w:keepNext w:val="0"/>
        <w:keepLines w:val="0"/>
        <w:pageBreakBefore w:val="0"/>
        <w:widowControl/>
        <w:kinsoku/>
        <w:wordWrap/>
        <w:overflowPunct/>
        <w:topLinePunct w:val="0"/>
        <w:autoSpaceDE/>
        <w:autoSpaceDN/>
        <w:bidi w:val="0"/>
        <w:spacing w:line="560" w:lineRule="exact"/>
        <w:ind w:firstLine="585"/>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大连高新技术产业园区</w:t>
      </w:r>
      <w:r>
        <w:rPr>
          <w:rFonts w:hint="eastAsia" w:ascii="仿宋_GB2312" w:hAnsi="仿宋_GB2312" w:eastAsia="仿宋_GB2312" w:cs="仿宋_GB2312"/>
          <w:sz w:val="32"/>
          <w:szCs w:val="32"/>
          <w:highlight w:val="none"/>
          <w:lang w:val="en-US" w:eastAsia="zh-CN"/>
        </w:rPr>
        <w:t>经济发展</w:t>
      </w:r>
      <w:r>
        <w:rPr>
          <w:rFonts w:hint="eastAsia" w:ascii="仿宋_GB2312" w:hAnsi="仿宋_GB2312" w:eastAsia="仿宋_GB2312" w:cs="仿宋_GB2312"/>
          <w:sz w:val="32"/>
          <w:szCs w:val="32"/>
          <w:highlight w:val="none"/>
        </w:rPr>
        <w:t>局内设机构5个，包括：综合科、</w:t>
      </w:r>
      <w:r>
        <w:rPr>
          <w:rFonts w:hint="eastAsia" w:ascii="仿宋_GB2312" w:hAnsi="仿宋_GB2312" w:eastAsia="仿宋_GB2312" w:cs="仿宋_GB2312"/>
          <w:sz w:val="32"/>
          <w:szCs w:val="32"/>
          <w:highlight w:val="none"/>
          <w:lang w:val="en-US" w:eastAsia="zh-CN"/>
        </w:rPr>
        <w:t>发展规划科（统计科）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投资管理</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lang w:val="en-US" w:eastAsia="zh-CN"/>
        </w:rPr>
        <w:t>产业发展</w:t>
      </w:r>
      <w:r>
        <w:rPr>
          <w:rFonts w:hint="eastAsia" w:ascii="仿宋_GB2312" w:hAnsi="仿宋_GB2312" w:eastAsia="仿宋_GB2312" w:cs="仿宋_GB2312"/>
          <w:sz w:val="32"/>
          <w:szCs w:val="32"/>
          <w:highlight w:val="none"/>
        </w:rPr>
        <w:t>科、</w:t>
      </w:r>
      <w:r>
        <w:rPr>
          <w:rFonts w:hint="eastAsia" w:ascii="仿宋_GB2312" w:hAnsi="仿宋_GB2312" w:eastAsia="仿宋_GB2312" w:cs="仿宋_GB2312"/>
          <w:sz w:val="32"/>
          <w:szCs w:val="32"/>
          <w:highlight w:val="none"/>
          <w:lang w:val="en-US" w:eastAsia="zh-CN"/>
        </w:rPr>
        <w:t>企业服务</w:t>
      </w:r>
      <w:r>
        <w:rPr>
          <w:rFonts w:hint="eastAsia" w:ascii="仿宋_GB2312" w:hAnsi="仿宋_GB2312" w:eastAsia="仿宋_GB2312" w:cs="仿宋_GB2312"/>
          <w:sz w:val="32"/>
          <w:szCs w:val="32"/>
          <w:highlight w:val="none"/>
        </w:rPr>
        <w:t>科。</w:t>
      </w:r>
    </w:p>
    <w:p w14:paraId="1CA9B449">
      <w:pPr>
        <w:keepNext w:val="0"/>
        <w:keepLines w:val="0"/>
        <w:pageBreakBefore w:val="0"/>
        <w:widowControl/>
        <w:kinsoku/>
        <w:wordWrap/>
        <w:overflowPunct/>
        <w:topLinePunct w:val="0"/>
        <w:autoSpaceDE/>
        <w:autoSpaceDN/>
        <w:bidi w:val="0"/>
        <w:spacing w:line="560" w:lineRule="exact"/>
        <w:ind w:firstLine="585"/>
        <w:jc w:val="left"/>
        <w:textAlignment w:val="auto"/>
        <w:rPr>
          <w:rFonts w:hint="eastAsia" w:ascii="仿宋_GB2312" w:hAnsi="仿宋_GB2312" w:eastAsia="仿宋_GB2312" w:cs="仿宋_GB2312"/>
          <w:sz w:val="32"/>
          <w:szCs w:val="32"/>
          <w:highlight w:val="none"/>
        </w:rPr>
      </w:pPr>
    </w:p>
    <w:p w14:paraId="0DED67C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第二部分 部门预算情况说明</w:t>
      </w:r>
    </w:p>
    <w:p w14:paraId="7D3FC83B">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总体说明</w:t>
      </w:r>
    </w:p>
    <w:p w14:paraId="6B5F1C7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highlight w:val="yellow"/>
          <w:lang w:val="en-US" w:eastAsia="zh-CN"/>
        </w:rPr>
      </w:pPr>
      <w:r>
        <w:rPr>
          <w:rFonts w:hint="eastAsia" w:ascii="仿宋" w:hAnsi="仿宋" w:eastAsia="仿宋" w:cs="仿宋"/>
          <w:color w:val="000000"/>
          <w:kern w:val="0"/>
          <w:sz w:val="30"/>
          <w:szCs w:val="30"/>
        </w:rPr>
        <w:t>按照综合预算的原则，本部门所有收入和支出均纳入部门预算管理，</w:t>
      </w:r>
      <w:r>
        <w:rPr>
          <w:rFonts w:hint="eastAsia" w:ascii="仿宋" w:hAnsi="仿宋" w:eastAsia="仿宋" w:cs="仿宋"/>
          <w:color w:val="000000"/>
          <w:kern w:val="0"/>
          <w:sz w:val="30"/>
          <w:szCs w:val="30"/>
          <w:lang w:val="en-US" w:eastAsia="zh-CN"/>
        </w:rPr>
        <w:t>本部门中，行政单位1家，事业单位1家，具体包括大连高新技术产业园区经济发展局（本级），大连高新技术产业园区经济发展服务中心</w:t>
      </w:r>
      <w:r>
        <w:rPr>
          <w:rFonts w:hint="eastAsia" w:ascii="仿宋" w:hAnsi="仿宋" w:eastAsia="仿宋" w:cs="仿宋"/>
          <w:color w:val="000000"/>
          <w:kern w:val="0"/>
          <w:sz w:val="30"/>
          <w:szCs w:val="30"/>
        </w:rPr>
        <w:t>。收入包括：</w:t>
      </w:r>
      <w:r>
        <w:rPr>
          <w:rFonts w:hint="eastAsia" w:ascii="仿宋" w:hAnsi="仿宋" w:eastAsia="仿宋" w:cs="仿宋"/>
          <w:color w:val="000000"/>
          <w:kern w:val="0"/>
          <w:sz w:val="30"/>
          <w:szCs w:val="30"/>
          <w:lang w:val="en-US" w:eastAsia="zh-CN"/>
        </w:rPr>
        <w:t>一般公共预算拨款</w:t>
      </w:r>
      <w:r>
        <w:rPr>
          <w:rFonts w:hint="eastAsia" w:ascii="仿宋" w:hAnsi="仿宋" w:eastAsia="仿宋" w:cs="仿宋"/>
          <w:color w:val="000000"/>
          <w:kern w:val="0"/>
          <w:sz w:val="30"/>
          <w:szCs w:val="30"/>
        </w:rPr>
        <w:t>收入5145.84万元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lang w:val="en-US" w:eastAsia="zh-CN"/>
        </w:rPr>
        <w:t>上年结转结余650万元</w:t>
      </w:r>
      <w:r>
        <w:rPr>
          <w:rFonts w:hint="eastAsia" w:ascii="仿宋" w:hAnsi="仿宋" w:eastAsia="仿宋" w:cs="仿宋"/>
          <w:color w:val="000000"/>
          <w:kern w:val="0"/>
          <w:sz w:val="30"/>
          <w:szCs w:val="30"/>
          <w:highlight w:val="none"/>
        </w:rPr>
        <w:t>；支出包括：</w:t>
      </w:r>
      <w:bookmarkStart w:id="0" w:name="OLE_LINK102"/>
      <w:bookmarkStart w:id="1" w:name="OLE_LINK101"/>
      <w:r>
        <w:rPr>
          <w:rFonts w:hint="eastAsia" w:ascii="仿宋" w:hAnsi="仿宋" w:eastAsia="仿宋" w:cs="仿宋"/>
          <w:color w:val="000000"/>
          <w:kern w:val="0"/>
          <w:sz w:val="30"/>
          <w:szCs w:val="30"/>
          <w:highlight w:val="none"/>
          <w:lang w:eastAsia="zh-CN"/>
        </w:rPr>
        <w:t>工资福利及对个人和家庭的补助</w:t>
      </w:r>
      <w:r>
        <w:rPr>
          <w:rFonts w:hint="eastAsia" w:ascii="仿宋" w:hAnsi="仿宋" w:eastAsia="仿宋" w:cs="仿宋"/>
          <w:color w:val="000000"/>
          <w:kern w:val="0"/>
          <w:sz w:val="30"/>
          <w:szCs w:val="30"/>
          <w:highlight w:val="none"/>
          <w:lang w:val="en-US" w:eastAsia="zh-CN"/>
        </w:rPr>
        <w:t>支出</w:t>
      </w:r>
      <w:r>
        <w:rPr>
          <w:rFonts w:hint="eastAsia" w:ascii="仿宋_GB2312" w:eastAsia="仿宋_GB2312"/>
          <w:sz w:val="32"/>
          <w:szCs w:val="32"/>
          <w:lang w:val="en-US" w:eastAsia="zh-CN"/>
        </w:rPr>
        <w:t>793.69</w:t>
      </w:r>
      <w:r>
        <w:rPr>
          <w:rFonts w:hint="eastAsia" w:ascii="仿宋" w:hAnsi="仿宋" w:eastAsia="仿宋" w:cs="仿宋"/>
          <w:color w:val="000000"/>
          <w:kern w:val="0"/>
          <w:sz w:val="30"/>
          <w:szCs w:val="30"/>
          <w:highlight w:val="none"/>
          <w:lang w:val="en-US" w:eastAsia="zh-CN"/>
        </w:rPr>
        <w:t>万元</w:t>
      </w:r>
      <w:bookmarkEnd w:id="0"/>
      <w:bookmarkEnd w:id="1"/>
      <w:r>
        <w:rPr>
          <w:rFonts w:hint="eastAsia" w:ascii="仿宋" w:hAnsi="仿宋" w:eastAsia="仿宋" w:cs="仿宋"/>
          <w:color w:val="000000"/>
          <w:kern w:val="0"/>
          <w:sz w:val="30"/>
          <w:szCs w:val="30"/>
          <w:highlight w:val="none"/>
        </w:rPr>
        <w:t>，商品和服务支出</w:t>
      </w:r>
      <w:r>
        <w:rPr>
          <w:rFonts w:hint="eastAsia" w:ascii="仿宋" w:hAnsi="仿宋" w:eastAsia="仿宋" w:cs="仿宋"/>
          <w:color w:val="000000"/>
          <w:kern w:val="0"/>
          <w:sz w:val="30"/>
          <w:szCs w:val="30"/>
          <w:highlight w:val="none"/>
          <w:lang w:val="en-US" w:eastAsia="zh-CN"/>
        </w:rPr>
        <w:t>277.15万元，对企业补助支出4725万元</w:t>
      </w:r>
      <w:r>
        <w:rPr>
          <w:rFonts w:hint="eastAsia" w:ascii="仿宋" w:hAnsi="仿宋" w:eastAsia="仿宋" w:cs="仿宋"/>
          <w:color w:val="000000"/>
          <w:kern w:val="0"/>
          <w:sz w:val="30"/>
          <w:szCs w:val="30"/>
          <w:highlight w:val="none"/>
        </w:rPr>
        <w:t>。</w:t>
      </w:r>
    </w:p>
    <w:p w14:paraId="43BCFAD8">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“三公”经费预算情况说明</w:t>
      </w:r>
    </w:p>
    <w:p w14:paraId="5EC63846">
      <w:pPr>
        <w:keepNext w:val="0"/>
        <w:keepLines w:val="0"/>
        <w:pageBreakBefore w:val="0"/>
        <w:kinsoku/>
        <w:wordWrap/>
        <w:overflowPunct/>
        <w:topLinePunct w:val="0"/>
        <w:autoSpaceDE/>
        <w:autoSpaceDN/>
        <w:bidi w:val="0"/>
        <w:spacing w:line="560" w:lineRule="exact"/>
        <w:ind w:firstLine="600" w:firstLineChars="200"/>
        <w:textAlignment w:val="auto"/>
        <w:rPr>
          <w:rFonts w:ascii="仿宋" w:hAnsi="仿宋" w:eastAsia="仿宋" w:cs="仿宋"/>
          <w:color w:val="000000"/>
          <w:kern w:val="0"/>
          <w:sz w:val="30"/>
          <w:szCs w:val="30"/>
          <w:highlight w:val="none"/>
        </w:rPr>
      </w:pPr>
      <w:r>
        <w:rPr>
          <w:rFonts w:hint="eastAsia" w:ascii="仿宋" w:hAnsi="仿宋" w:eastAsia="仿宋"/>
          <w:sz w:val="30"/>
          <w:szCs w:val="30"/>
          <w:highlight w:val="none"/>
        </w:rPr>
        <w:t>无“三公”经费支出</w:t>
      </w:r>
      <w:r>
        <w:rPr>
          <w:rFonts w:hint="eastAsia" w:ascii="仿宋" w:hAnsi="仿宋" w:eastAsia="仿宋" w:cs="仿宋"/>
          <w:sz w:val="30"/>
          <w:szCs w:val="30"/>
          <w:highlight w:val="none"/>
        </w:rPr>
        <w:t>。</w:t>
      </w:r>
      <w:r>
        <w:rPr>
          <w:rFonts w:ascii="仿宋" w:hAnsi="仿宋" w:eastAsia="仿宋" w:cs="仿宋"/>
          <w:color w:val="000000"/>
          <w:kern w:val="0"/>
          <w:sz w:val="30"/>
          <w:szCs w:val="30"/>
          <w:highlight w:val="none"/>
        </w:rPr>
        <w:t>主要是按照中央及市委、市政府关于厉行节约、改进工作作风、密切联系群众“八项规定”等有关要求，严格控制“三公”经费支出</w:t>
      </w:r>
      <w:r>
        <w:rPr>
          <w:rFonts w:hint="eastAsia" w:ascii="仿宋" w:hAnsi="仿宋" w:eastAsia="仿宋" w:cs="仿宋"/>
          <w:color w:val="000000"/>
          <w:kern w:val="0"/>
          <w:sz w:val="30"/>
          <w:szCs w:val="30"/>
          <w:highlight w:val="none"/>
        </w:rPr>
        <w:t>。</w:t>
      </w:r>
    </w:p>
    <w:p w14:paraId="07DE26D8">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机关运行经费安排情况说明</w:t>
      </w:r>
    </w:p>
    <w:p w14:paraId="631AD07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highlight w:val="none"/>
        </w:rPr>
      </w:pPr>
      <w:r>
        <w:rPr>
          <w:rFonts w:hint="eastAsia" w:ascii="仿宋" w:hAnsi="仿宋" w:eastAsia="仿宋" w:cs="仿宋"/>
          <w:color w:val="000000"/>
          <w:kern w:val="0"/>
          <w:sz w:val="30"/>
          <w:szCs w:val="30"/>
          <w:highlight w:val="none"/>
        </w:rPr>
        <w:t>机关运行经费包括定额公用经费</w:t>
      </w:r>
      <w:r>
        <w:rPr>
          <w:rFonts w:hint="eastAsia" w:ascii="仿宋" w:hAnsi="仿宋" w:eastAsia="仿宋" w:cs="仿宋"/>
          <w:color w:val="000000"/>
          <w:kern w:val="0"/>
          <w:sz w:val="30"/>
          <w:szCs w:val="30"/>
          <w:highlight w:val="none"/>
          <w:lang w:val="en-US" w:eastAsia="zh-CN"/>
        </w:rPr>
        <w:t>26.13万元</w:t>
      </w:r>
      <w:r>
        <w:rPr>
          <w:rFonts w:hint="eastAsia" w:ascii="仿宋" w:hAnsi="仿宋" w:eastAsia="仿宋" w:cs="仿宋"/>
          <w:color w:val="000000"/>
          <w:kern w:val="0"/>
          <w:sz w:val="30"/>
          <w:szCs w:val="30"/>
          <w:highlight w:val="none"/>
        </w:rPr>
        <w:t>。</w:t>
      </w:r>
    </w:p>
    <w:p w14:paraId="59E65582">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政府采购情况说明</w:t>
      </w:r>
    </w:p>
    <w:p w14:paraId="5522550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政府采购预算589.98万元，全部为服务类预算。</w:t>
      </w:r>
    </w:p>
    <w:p w14:paraId="5165311E">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政府性基金收支预算情况</w:t>
      </w:r>
    </w:p>
    <w:p w14:paraId="6ABACAE6">
      <w:pPr>
        <w:keepNext w:val="0"/>
        <w:keepLines w:val="0"/>
        <w:pageBreakBefore w:val="0"/>
        <w:kinsoku/>
        <w:wordWrap/>
        <w:overflowPunct/>
        <w:topLinePunct w:val="0"/>
        <w:autoSpaceDE/>
        <w:autoSpaceDN/>
        <w:bidi w:val="0"/>
        <w:spacing w:line="560" w:lineRule="exact"/>
        <w:ind w:firstLine="600" w:firstLineChars="200"/>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无政府性基金预算收</w:t>
      </w:r>
      <w:bookmarkStart w:id="2" w:name="_GoBack"/>
      <w:bookmarkEnd w:id="2"/>
      <w:r>
        <w:rPr>
          <w:rFonts w:hint="eastAsia" w:ascii="仿宋" w:hAnsi="仿宋" w:eastAsia="仿宋" w:cs="仿宋"/>
          <w:color w:val="000000"/>
          <w:kern w:val="0"/>
          <w:sz w:val="30"/>
          <w:szCs w:val="30"/>
        </w:rPr>
        <w:t>支。</w:t>
      </w:r>
    </w:p>
    <w:p w14:paraId="3FFE8317">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国有资产占有使用情况说明</w:t>
      </w:r>
    </w:p>
    <w:p w14:paraId="397D6B6F">
      <w:pPr>
        <w:keepNext w:val="0"/>
        <w:keepLines w:val="0"/>
        <w:pageBreakBefore w:val="0"/>
        <w:kinsoku/>
        <w:wordWrap/>
        <w:overflowPunct/>
        <w:topLinePunct w:val="0"/>
        <w:autoSpaceDE/>
        <w:autoSpaceDN/>
        <w:bidi w:val="0"/>
        <w:spacing w:line="560" w:lineRule="exact"/>
        <w:ind w:firstLine="600" w:firstLineChars="200"/>
        <w:textAlignment w:val="auto"/>
        <w:rPr>
          <w:rFonts w:ascii="仿宋" w:hAnsi="仿宋" w:eastAsia="仿宋" w:cs="仿宋"/>
          <w:kern w:val="0"/>
          <w:sz w:val="30"/>
          <w:szCs w:val="30"/>
        </w:rPr>
      </w:pPr>
      <w:r>
        <w:rPr>
          <w:rFonts w:hint="eastAsia" w:ascii="仿宋" w:hAnsi="仿宋" w:eastAsia="仿宋" w:cs="仿宋"/>
          <w:kern w:val="0"/>
          <w:sz w:val="30"/>
          <w:szCs w:val="30"/>
        </w:rPr>
        <w:t>国有资产占有使用情况说明为：截至202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年12月31日，部门（单位）共有车辆0辆；单位价值50万元（含）以上通用设备1台（套）；单位价值100万元以上专用设备0台（套）。</w:t>
      </w:r>
    </w:p>
    <w:p w14:paraId="509A005D">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rPr>
        <w:t>预算绩效管理情况</w:t>
      </w:r>
    </w:p>
    <w:p w14:paraId="1157415D">
      <w:pPr>
        <w:keepNext w:val="0"/>
        <w:keepLines w:val="0"/>
        <w:pageBreakBefore w:val="0"/>
        <w:kinsoku/>
        <w:wordWrap/>
        <w:overflowPunct/>
        <w:topLinePunct w:val="0"/>
        <w:autoSpaceDE/>
        <w:autoSpaceDN/>
        <w:bidi w:val="0"/>
        <w:spacing w:line="560" w:lineRule="exact"/>
        <w:ind w:firstLine="600" w:firstLineChars="200"/>
        <w:textAlignment w:val="auto"/>
        <w:rPr>
          <w:rFonts w:ascii="仿宋" w:hAnsi="仿宋" w:eastAsia="仿宋" w:cs="仿宋"/>
          <w:kern w:val="0"/>
          <w:sz w:val="30"/>
          <w:szCs w:val="30"/>
          <w:highlight w:val="none"/>
        </w:rPr>
      </w:pPr>
      <w:r>
        <w:rPr>
          <w:rFonts w:ascii="仿宋" w:hAnsi="仿宋" w:eastAsia="仿宋" w:cs="Verdana"/>
          <w:kern w:val="0"/>
          <w:sz w:val="30"/>
          <w:szCs w:val="30"/>
          <w:highlight w:val="none"/>
        </w:rPr>
        <w:t>20</w:t>
      </w:r>
      <w:r>
        <w:rPr>
          <w:rFonts w:hint="eastAsia" w:ascii="仿宋" w:hAnsi="仿宋" w:eastAsia="仿宋" w:cs="Verdana"/>
          <w:kern w:val="0"/>
          <w:sz w:val="30"/>
          <w:szCs w:val="30"/>
          <w:highlight w:val="none"/>
        </w:rPr>
        <w:t>2</w:t>
      </w:r>
      <w:r>
        <w:rPr>
          <w:rFonts w:hint="eastAsia" w:ascii="仿宋" w:hAnsi="仿宋" w:eastAsia="仿宋" w:cs="Verdana"/>
          <w:kern w:val="0"/>
          <w:sz w:val="30"/>
          <w:szCs w:val="30"/>
          <w:highlight w:val="none"/>
          <w:lang w:val="en-US" w:eastAsia="zh-CN"/>
        </w:rPr>
        <w:t>4</w:t>
      </w:r>
      <w:r>
        <w:rPr>
          <w:rFonts w:hint="eastAsia" w:ascii="仿宋" w:hAnsi="仿宋" w:eastAsia="仿宋" w:cs="Verdana"/>
          <w:kern w:val="0"/>
          <w:sz w:val="30"/>
          <w:szCs w:val="30"/>
          <w:highlight w:val="none"/>
        </w:rPr>
        <w:t>年，按照“先有绩效，后有预算”原则，本部门共计编制绩效目标</w:t>
      </w:r>
      <w:r>
        <w:rPr>
          <w:rFonts w:hint="eastAsia" w:ascii="仿宋" w:hAnsi="仿宋" w:eastAsia="仿宋" w:cs="Verdana"/>
          <w:kern w:val="0"/>
          <w:sz w:val="30"/>
          <w:szCs w:val="30"/>
          <w:highlight w:val="none"/>
          <w:lang w:val="en-US" w:eastAsia="zh-CN"/>
        </w:rPr>
        <w:t>8</w:t>
      </w:r>
      <w:r>
        <w:rPr>
          <w:rFonts w:hint="eastAsia" w:ascii="仿宋" w:hAnsi="仿宋" w:eastAsia="仿宋" w:cs="Verdana"/>
          <w:kern w:val="0"/>
          <w:sz w:val="30"/>
          <w:szCs w:val="30"/>
          <w:highlight w:val="none"/>
        </w:rPr>
        <w:t>个，预算金额4976.02万元。</w:t>
      </w:r>
    </w:p>
    <w:p w14:paraId="70D2F940">
      <w:pPr>
        <w:keepNext w:val="0"/>
        <w:keepLines w:val="0"/>
        <w:pageBreakBefore w:val="0"/>
        <w:widowControl/>
        <w:numPr>
          <w:ilvl w:val="0"/>
          <w:numId w:val="2"/>
        </w:numPr>
        <w:kinsoku/>
        <w:wordWrap/>
        <w:overflowPunct/>
        <w:topLinePunct w:val="0"/>
        <w:autoSpaceDE/>
        <w:autoSpaceDN/>
        <w:bidi w:val="0"/>
        <w:spacing w:line="560" w:lineRule="exact"/>
        <w:jc w:val="left"/>
        <w:textAlignment w:val="auto"/>
        <w:rPr>
          <w:rFonts w:hint="eastAsia" w:ascii="华文楷体" w:hAnsi="华文楷体" w:eastAsia="华文楷体" w:cs="华文楷体"/>
          <w:b w:val="0"/>
          <w:bCs w:val="0"/>
          <w:color w:val="000000"/>
          <w:kern w:val="0"/>
          <w:sz w:val="30"/>
          <w:szCs w:val="30"/>
        </w:rPr>
      </w:pPr>
      <w:r>
        <w:rPr>
          <w:rFonts w:hint="eastAsia" w:ascii="华文楷体" w:hAnsi="华文楷体" w:eastAsia="华文楷体" w:cs="华文楷体"/>
          <w:b w:val="0"/>
          <w:bCs w:val="0"/>
          <w:color w:val="000000"/>
          <w:kern w:val="0"/>
          <w:sz w:val="30"/>
          <w:szCs w:val="30"/>
          <w:lang w:eastAsia="zh-CN"/>
        </w:rPr>
        <w:t>“</w:t>
      </w:r>
      <w:r>
        <w:rPr>
          <w:rFonts w:hint="eastAsia" w:ascii="华文楷体" w:hAnsi="华文楷体" w:eastAsia="华文楷体" w:cs="华文楷体"/>
          <w:b w:val="0"/>
          <w:bCs w:val="0"/>
          <w:color w:val="000000"/>
          <w:kern w:val="0"/>
          <w:sz w:val="30"/>
          <w:szCs w:val="30"/>
          <w:lang w:val="en-US" w:eastAsia="zh-CN"/>
        </w:rPr>
        <w:t>十五五”总体规划系列</w:t>
      </w:r>
      <w:r>
        <w:rPr>
          <w:rFonts w:hint="eastAsia" w:ascii="华文楷体" w:hAnsi="华文楷体" w:eastAsia="华文楷体" w:cs="华文楷体"/>
          <w:b w:val="0"/>
          <w:bCs w:val="0"/>
          <w:color w:val="000000"/>
          <w:kern w:val="0"/>
          <w:sz w:val="30"/>
          <w:szCs w:val="30"/>
        </w:rPr>
        <w:t>项目</w:t>
      </w:r>
    </w:p>
    <w:p w14:paraId="6D4501A3">
      <w:pPr>
        <w:keepNext w:val="0"/>
        <w:keepLines w:val="0"/>
        <w:pageBreakBefore w:val="0"/>
        <w:kinsoku/>
        <w:wordWrap/>
        <w:overflowPunct/>
        <w:topLinePunct w:val="0"/>
        <w:autoSpaceDE/>
        <w:autoSpaceDN/>
        <w:bidi w:val="0"/>
        <w:spacing w:line="560" w:lineRule="exact"/>
        <w:ind w:firstLine="602" w:firstLineChars="200"/>
        <w:textAlignment w:val="auto"/>
        <w:outlineLvl w:val="0"/>
        <w:rPr>
          <w:rFonts w:ascii="仿宋" w:hAnsi="仿宋" w:eastAsia="仿宋" w:cs="仿宋_GB2312"/>
          <w:b/>
          <w:bCs w:val="0"/>
          <w:color w:val="000000"/>
          <w:kern w:val="0"/>
          <w:sz w:val="30"/>
          <w:szCs w:val="30"/>
        </w:rPr>
      </w:pPr>
      <w:r>
        <w:rPr>
          <w:rFonts w:hint="eastAsia" w:ascii="仿宋" w:hAnsi="仿宋" w:eastAsia="仿宋" w:cs="仿宋_GB2312"/>
          <w:b/>
          <w:bCs w:val="0"/>
          <w:color w:val="000000"/>
          <w:kern w:val="0"/>
          <w:sz w:val="30"/>
          <w:szCs w:val="30"/>
        </w:rPr>
        <w:t>1.项目概述</w:t>
      </w:r>
    </w:p>
    <w:p w14:paraId="52E41C49">
      <w:pPr>
        <w:keepNext w:val="0"/>
        <w:keepLines w:val="0"/>
        <w:pageBreakBefore w:val="0"/>
        <w:numPr>
          <w:ilvl w:val="0"/>
          <w:numId w:val="0"/>
        </w:numPr>
        <w:kinsoku/>
        <w:wordWrap/>
        <w:overflowPunct/>
        <w:topLinePunct w:val="0"/>
        <w:autoSpaceDE/>
        <w:autoSpaceDN/>
        <w:bidi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十五五”规划是我国基本实现社会主义现代化承上启下的关键规划，是加快转入高质量发展轨道的关键规划，也是世界百年变局中赢得战略主动的关键规划。编制实施好我区“十五五”发展规划，描绘好发展蓝图，意义十分重大。</w:t>
      </w:r>
    </w:p>
    <w:p w14:paraId="5BA34BA3">
      <w:pPr>
        <w:keepNext w:val="0"/>
        <w:keepLines w:val="0"/>
        <w:pageBreakBefore w:val="0"/>
        <w:numPr>
          <w:ilvl w:val="0"/>
          <w:numId w:val="0"/>
        </w:numPr>
        <w:kinsoku/>
        <w:wordWrap/>
        <w:overflowPunct/>
        <w:topLinePunct w:val="0"/>
        <w:autoSpaceDE/>
        <w:autoSpaceDN/>
        <w:bidi w:val="0"/>
        <w:spacing w:line="560" w:lineRule="exact"/>
        <w:ind w:firstLine="602" w:firstLineChars="200"/>
        <w:textAlignment w:val="auto"/>
        <w:rPr>
          <w:rFonts w:hint="eastAsia" w:ascii="仿宋" w:hAnsi="仿宋" w:eastAsia="仿宋" w:cs="仿宋_GB2312"/>
          <w:b/>
          <w:bCs w:val="0"/>
          <w:color w:val="000000"/>
          <w:kern w:val="0"/>
          <w:sz w:val="30"/>
          <w:szCs w:val="30"/>
        </w:rPr>
      </w:pPr>
      <w:r>
        <w:rPr>
          <w:rFonts w:hint="eastAsia" w:ascii="仿宋" w:hAnsi="仿宋" w:eastAsia="仿宋" w:cs="仿宋_GB2312"/>
          <w:b/>
          <w:bCs w:val="0"/>
          <w:color w:val="000000"/>
          <w:kern w:val="0"/>
          <w:sz w:val="30"/>
          <w:szCs w:val="30"/>
          <w:lang w:val="en-US" w:eastAsia="zh-CN"/>
        </w:rPr>
        <w:t>2.</w:t>
      </w:r>
      <w:r>
        <w:rPr>
          <w:rFonts w:hint="eastAsia" w:ascii="仿宋" w:hAnsi="仿宋" w:eastAsia="仿宋" w:cs="仿宋_GB2312"/>
          <w:b/>
          <w:bCs w:val="0"/>
          <w:color w:val="000000"/>
          <w:kern w:val="0"/>
          <w:sz w:val="30"/>
          <w:szCs w:val="30"/>
        </w:rPr>
        <w:t>立项依据</w:t>
      </w:r>
    </w:p>
    <w:p w14:paraId="7DFC4F53">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_GB2312"/>
          <w:bCs/>
          <w:color w:val="000000"/>
          <w:kern w:val="0"/>
          <w:sz w:val="30"/>
          <w:szCs w:val="30"/>
          <w:lang w:eastAsia="zh-CN"/>
        </w:rPr>
      </w:pPr>
      <w:r>
        <w:rPr>
          <w:rFonts w:hint="eastAsia" w:ascii="仿宋" w:hAnsi="仿宋" w:eastAsia="仿宋" w:cs="仿宋"/>
          <w:sz w:val="30"/>
          <w:szCs w:val="30"/>
        </w:rPr>
        <w:t>按照大连市“十五五”规划编制工作安排</w:t>
      </w:r>
      <w:r>
        <w:rPr>
          <w:rFonts w:hint="eastAsia" w:ascii="仿宋" w:hAnsi="仿宋" w:eastAsia="仿宋" w:cs="仿宋"/>
          <w:sz w:val="30"/>
          <w:szCs w:val="30"/>
          <w:lang w:eastAsia="zh-CN"/>
        </w:rPr>
        <w:t>，</w:t>
      </w:r>
      <w:r>
        <w:rPr>
          <w:rFonts w:hint="eastAsia" w:ascii="仿宋" w:hAnsi="仿宋" w:eastAsia="仿宋" w:cs="仿宋"/>
          <w:sz w:val="30"/>
          <w:szCs w:val="30"/>
        </w:rPr>
        <w:t>，我区“十五五”规划编制工作总体上分三个阶段推进。</w:t>
      </w:r>
    </w:p>
    <w:p w14:paraId="2C8C8D4C">
      <w:pPr>
        <w:keepNext w:val="0"/>
        <w:keepLines w:val="0"/>
        <w:pageBreakBefore w:val="0"/>
        <w:kinsoku/>
        <w:wordWrap/>
        <w:overflowPunct/>
        <w:topLinePunct w:val="0"/>
        <w:autoSpaceDE/>
        <w:autoSpaceDN/>
        <w:bidi w:val="0"/>
        <w:spacing w:line="560" w:lineRule="exact"/>
        <w:ind w:firstLine="602" w:firstLineChars="200"/>
        <w:textAlignment w:val="auto"/>
        <w:outlineLvl w:val="0"/>
        <w:rPr>
          <w:rFonts w:ascii="仿宋" w:hAnsi="仿宋" w:eastAsia="仿宋" w:cs="仿宋_GB2312"/>
          <w:b/>
          <w:bCs w:val="0"/>
          <w:color w:val="000000"/>
          <w:kern w:val="0"/>
          <w:sz w:val="30"/>
          <w:szCs w:val="30"/>
        </w:rPr>
      </w:pPr>
      <w:r>
        <w:rPr>
          <w:rFonts w:hint="eastAsia" w:ascii="仿宋" w:hAnsi="仿宋" w:eastAsia="仿宋" w:cs="仿宋_GB2312"/>
          <w:b/>
          <w:bCs w:val="0"/>
          <w:color w:val="000000"/>
          <w:kern w:val="0"/>
          <w:sz w:val="30"/>
          <w:szCs w:val="30"/>
        </w:rPr>
        <w:t>3.实施主体</w:t>
      </w:r>
    </w:p>
    <w:p w14:paraId="051379B5">
      <w:pPr>
        <w:keepNext w:val="0"/>
        <w:keepLines w:val="0"/>
        <w:pageBreakBefore w:val="0"/>
        <w:kinsoku/>
        <w:wordWrap/>
        <w:overflowPunct/>
        <w:topLinePunct w:val="0"/>
        <w:autoSpaceDE/>
        <w:autoSpaceDN/>
        <w:bidi w:val="0"/>
        <w:spacing w:line="560" w:lineRule="exact"/>
        <w:ind w:left="160" w:firstLine="450" w:firstLineChars="150"/>
        <w:textAlignment w:val="auto"/>
        <w:rPr>
          <w:rFonts w:hint="eastAsia" w:ascii="仿宋" w:hAnsi="仿宋" w:eastAsia="仿宋" w:cs="Verdana"/>
          <w:kern w:val="0"/>
          <w:sz w:val="30"/>
          <w:szCs w:val="30"/>
          <w:lang w:val="en-US" w:eastAsia="zh-CN"/>
        </w:rPr>
      </w:pPr>
      <w:r>
        <w:rPr>
          <w:rFonts w:hint="eastAsia" w:ascii="仿宋" w:hAnsi="仿宋" w:eastAsia="仿宋" w:cs="Verdana"/>
          <w:kern w:val="0"/>
          <w:sz w:val="30"/>
          <w:szCs w:val="30"/>
          <w:lang w:val="en-US" w:eastAsia="zh-CN"/>
        </w:rPr>
        <w:t>高新区经济发展局</w:t>
      </w:r>
    </w:p>
    <w:p w14:paraId="6B80A024">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4.实施</w:t>
      </w:r>
      <w:r>
        <w:rPr>
          <w:rFonts w:hint="eastAsia" w:ascii="仿宋" w:hAnsi="仿宋" w:eastAsia="仿宋" w:cs="仿宋"/>
          <w:b/>
          <w:bCs/>
          <w:sz w:val="30"/>
          <w:szCs w:val="30"/>
        </w:rPr>
        <w:t>方案</w:t>
      </w:r>
    </w:p>
    <w:p w14:paraId="242E77FA">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按照大连市“十五五”规划编制工作安排，我区“十五五”规划编制工作总体上分以下三个阶段推进。</w:t>
      </w:r>
    </w:p>
    <w:p w14:paraId="3DC60BB2">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前期研究阶段（即日起至2024年年底）</w:t>
      </w:r>
    </w:p>
    <w:p w14:paraId="7AFA8E98">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全面启动规划编制工作，开展“十五五”规划前期重大问题研究，组织开展调研座谈等工作；起草形成我区“十五五”规划基本思路，并做好与市发改委的工作衔接，保证规划编制的质量和效能。</w:t>
      </w:r>
    </w:p>
    <w:p w14:paraId="74D2605B">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《规划纲要》编制阶段（2025年1月至2026年年初）</w:t>
      </w:r>
    </w:p>
    <w:p w14:paraId="2906F46D">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按照中央、省委和市委规划精神，结合前期课题研究成果，组织编制“十五五”规划纲要。规划纲要应立足区域比较优势和主体功能定位，深入研究本地区“十五五”发展思路、目标指标和重点任务，将国家所需、推动新时代辽宁全面振兴所需和地方所能有机结合，因地制宜指导发展。规划纲要应与国家、省、市规划进行衔接，充分征求各方面意见建议，并做好提请党工委审议各项工作。</w:t>
      </w:r>
    </w:p>
    <w:p w14:paraId="4CA71EC9">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专项规划编制阶段（2025年1月至2026年年底）</w:t>
      </w:r>
    </w:p>
    <w:p w14:paraId="4260ED4B">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是否编制专项规划由各职能部门及街道提出，报管委会批准。 专项规划编制应突出“求精”“求实”，聚焦事关全局、确需政府发挥作用的领域，切实做到精简数量、提高质量，涉及多个部门的鼓励联合编制，争取与规划《纲要草案》同年出台。</w:t>
      </w:r>
    </w:p>
    <w:p w14:paraId="65BFECCC">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b/>
          <w:bCs/>
          <w:sz w:val="30"/>
          <w:szCs w:val="30"/>
        </w:rPr>
      </w:pPr>
      <w:r>
        <w:rPr>
          <w:rFonts w:hint="eastAsia" w:ascii="仿宋" w:hAnsi="仿宋" w:eastAsia="仿宋" w:cs="仿宋"/>
          <w:b/>
          <w:bCs/>
          <w:sz w:val="30"/>
          <w:szCs w:val="30"/>
        </w:rPr>
        <w:t>5.实施周期</w:t>
      </w:r>
    </w:p>
    <w:p w14:paraId="3CB62ABB">
      <w:pPr>
        <w:keepNext w:val="0"/>
        <w:keepLines w:val="0"/>
        <w:pageBreakBefore w:val="0"/>
        <w:kinsoku/>
        <w:wordWrap/>
        <w:overflowPunct/>
        <w:topLinePunct w:val="0"/>
        <w:autoSpaceDE/>
        <w:autoSpaceDN/>
        <w:bidi w:val="0"/>
        <w:spacing w:line="560" w:lineRule="exact"/>
        <w:ind w:firstLine="6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年底</w:t>
      </w:r>
      <w:r>
        <w:rPr>
          <w:rFonts w:hint="eastAsia" w:ascii="仿宋" w:hAnsi="仿宋" w:eastAsia="仿宋" w:cs="仿宋"/>
          <w:sz w:val="30"/>
          <w:szCs w:val="30"/>
        </w:rPr>
        <w:t>至2026年年</w:t>
      </w:r>
      <w:r>
        <w:rPr>
          <w:rFonts w:hint="eastAsia" w:ascii="仿宋" w:hAnsi="仿宋" w:eastAsia="仿宋" w:cs="仿宋"/>
          <w:sz w:val="30"/>
          <w:szCs w:val="30"/>
          <w:lang w:val="en-US" w:eastAsia="zh-CN"/>
        </w:rPr>
        <w:t>底</w:t>
      </w:r>
    </w:p>
    <w:p w14:paraId="40BF13A1">
      <w:pPr>
        <w:keepNext w:val="0"/>
        <w:keepLines w:val="0"/>
        <w:pageBreakBefore w:val="0"/>
        <w:kinsoku/>
        <w:wordWrap/>
        <w:overflowPunct/>
        <w:topLinePunct w:val="0"/>
        <w:autoSpaceDE/>
        <w:autoSpaceDN/>
        <w:bidi w:val="0"/>
        <w:spacing w:line="560" w:lineRule="exact"/>
        <w:ind w:firstLine="602" w:firstLineChars="200"/>
        <w:textAlignment w:val="auto"/>
        <w:rPr>
          <w:rFonts w:ascii="仿宋" w:hAnsi="仿宋" w:eastAsia="仿宋" w:cs="仿宋_GB2312"/>
          <w:b/>
          <w:bCs w:val="0"/>
          <w:color w:val="000000"/>
          <w:kern w:val="0"/>
          <w:sz w:val="30"/>
          <w:szCs w:val="30"/>
        </w:rPr>
      </w:pPr>
      <w:r>
        <w:rPr>
          <w:rFonts w:hint="eastAsia" w:ascii="仿宋" w:hAnsi="仿宋" w:eastAsia="仿宋" w:cs="仿宋_GB2312"/>
          <w:b/>
          <w:bCs w:val="0"/>
          <w:color w:val="000000"/>
          <w:kern w:val="0"/>
          <w:sz w:val="30"/>
          <w:szCs w:val="30"/>
        </w:rPr>
        <w:t>6.年度预算安排</w:t>
      </w:r>
    </w:p>
    <w:p w14:paraId="55472F19">
      <w:pPr>
        <w:keepNext w:val="0"/>
        <w:keepLines w:val="0"/>
        <w:pageBreakBefore w:val="0"/>
        <w:widowControl/>
        <w:kinsoku/>
        <w:wordWrap/>
        <w:overflowPunct/>
        <w:topLinePunct w:val="0"/>
        <w:autoSpaceDE/>
        <w:autoSpaceDN/>
        <w:bidi w:val="0"/>
        <w:spacing w:line="560" w:lineRule="exact"/>
        <w:ind w:firstLine="6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“十五五”前期课题研究90万元，“十五五”总体规划70万元，“十五五”专项规划20万元。</w:t>
      </w:r>
    </w:p>
    <w:p w14:paraId="76689486">
      <w:pPr>
        <w:keepNext w:val="0"/>
        <w:keepLines w:val="0"/>
        <w:pageBreakBefore w:val="0"/>
        <w:widowControl/>
        <w:kinsoku/>
        <w:wordWrap/>
        <w:overflowPunct/>
        <w:topLinePunct w:val="0"/>
        <w:autoSpaceDE/>
        <w:autoSpaceDN/>
        <w:bidi w:val="0"/>
        <w:spacing w:line="560" w:lineRule="exact"/>
        <w:ind w:firstLine="600"/>
        <w:jc w:val="left"/>
        <w:textAlignment w:val="auto"/>
        <w:rPr>
          <w:rFonts w:hint="default" w:ascii="仿宋" w:hAnsi="仿宋" w:eastAsia="仿宋" w:cs="仿宋"/>
          <w:color w:val="000000"/>
          <w:kern w:val="0"/>
          <w:sz w:val="30"/>
          <w:szCs w:val="30"/>
          <w:lang w:val="en-US" w:eastAsia="zh-CN"/>
        </w:rPr>
      </w:pPr>
    </w:p>
    <w:p w14:paraId="22A281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rPr>
        <w:t>第三部分 名词解释</w:t>
      </w:r>
    </w:p>
    <w:p w14:paraId="02B484D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一般公共预算：是对以税收为主体的财政收入，安排用于保障和改善民生、推动经济社会发展、维护国家安全、维持国家机构正常运转等方面的收支预算。</w:t>
      </w:r>
    </w:p>
    <w:p w14:paraId="29D94912">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政府性基金预算：是对依照法律、行政法规的规定在一定期限内向特定对象征收、收取或者以其他方式筹集的资金，专项用于特定公共事业发展的收支预算。</w:t>
      </w:r>
    </w:p>
    <w:p w14:paraId="341668A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上年结转和结余：指以前年度支出预算因客观条件变化未执行完毕、结转到本年度按有关规定继续使用的资金，既包括财政拨款结转和结余，也包括事业收入、经营收入、其他收入的结转和结余。</w:t>
      </w:r>
    </w:p>
    <w:p w14:paraId="4DFE3B2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highlight w:val="none"/>
        </w:rPr>
        <w:t>国有资本经营预算</w:t>
      </w:r>
      <w:r>
        <w:rPr>
          <w:rFonts w:hint="eastAsia" w:ascii="仿宋" w:hAnsi="仿宋" w:eastAsia="仿宋" w:cs="仿宋"/>
          <w:color w:val="000000"/>
          <w:kern w:val="0"/>
          <w:sz w:val="30"/>
          <w:szCs w:val="30"/>
          <w:highlight w:val="none"/>
          <w:lang w:eastAsia="zh-CN"/>
        </w:rPr>
        <w:t>：：国有资本经营预算是对国有资本收益做出支出安排的收支预算。</w:t>
      </w:r>
    </w:p>
    <w:p w14:paraId="140D3D5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highlight w:val="none"/>
          <w:lang w:val="en-US" w:eastAsia="zh-CN"/>
        </w:rPr>
        <w:t>基本支出：</w:t>
      </w:r>
      <w:r>
        <w:rPr>
          <w:rFonts w:hint="eastAsia" w:ascii="仿宋" w:hAnsi="仿宋" w:eastAsia="仿宋" w:cs="仿宋"/>
          <w:color w:val="000000"/>
          <w:kern w:val="0"/>
          <w:sz w:val="30"/>
          <w:szCs w:val="30"/>
        </w:rPr>
        <w:t>指为保障机构正常运转、完成日常工作任务而发生的人员支出和公用支出。</w:t>
      </w:r>
    </w:p>
    <w:p w14:paraId="1A30228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ascii="仿宋" w:hAnsi="仿宋" w:eastAsia="仿宋" w:cs="仿宋"/>
          <w:color w:val="000000"/>
          <w:kern w:val="0"/>
          <w:sz w:val="30"/>
          <w:szCs w:val="30"/>
        </w:rPr>
      </w:pPr>
      <w:r>
        <w:rPr>
          <w:rFonts w:hint="eastAsia" w:ascii="仿宋" w:hAnsi="仿宋" w:eastAsia="仿宋" w:cs="仿宋"/>
          <w:color w:val="000000"/>
          <w:kern w:val="0"/>
          <w:sz w:val="30"/>
          <w:szCs w:val="30"/>
        </w:rPr>
        <w:t>项目支出：指在基本支出之外为完成特定行政任务和事业发展目标所发生的支出。</w:t>
      </w:r>
    </w:p>
    <w:p w14:paraId="6DA664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403B52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DFC3B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default" w:ascii="仿宋" w:hAnsi="仿宋" w:eastAsia="仿宋" w:cs="仿宋"/>
          <w:color w:val="000000"/>
          <w:kern w:val="0"/>
          <w:sz w:val="30"/>
          <w:szCs w:val="30"/>
          <w:lang w:val="en-US" w:eastAsia="zh-CN"/>
        </w:rPr>
      </w:pPr>
    </w:p>
    <w:p w14:paraId="4659005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ascii="仿宋" w:hAnsi="仿宋" w:eastAsia="仿宋" w:cs="仿宋"/>
          <w:color w:val="000000"/>
          <w:kern w:val="0"/>
          <w:sz w:val="30"/>
          <w:szCs w:val="30"/>
        </w:rPr>
      </w:pPr>
      <w:r>
        <w:rPr>
          <w:rFonts w:ascii="仿宋" w:hAnsi="仿宋" w:eastAsia="仿宋" w:cs="仿宋"/>
          <w:color w:val="000000"/>
          <w:kern w:val="0"/>
          <w:sz w:val="30"/>
          <w:szCs w:val="30"/>
        </w:rPr>
        <w:t xml:space="preserve">                                 </w:t>
      </w:r>
      <w:r>
        <w:rPr>
          <w:rFonts w:hint="eastAsia" w:ascii="仿宋" w:hAnsi="仿宋" w:eastAsia="仿宋" w:cs="仿宋"/>
          <w:color w:val="000000"/>
          <w:kern w:val="0"/>
          <w:sz w:val="30"/>
          <w:szCs w:val="30"/>
        </w:rPr>
        <w:t>20</w:t>
      </w:r>
      <w:r>
        <w:rPr>
          <w:rFonts w:hint="eastAsia" w:ascii="仿宋" w:hAnsi="仿宋" w:eastAsia="仿宋" w:cs="仿宋"/>
          <w:color w:val="000000"/>
          <w:kern w:val="0"/>
          <w:sz w:val="30"/>
          <w:szCs w:val="30"/>
          <w:lang w:val="en-US" w:eastAsia="zh-CN"/>
        </w:rPr>
        <w:t>24</w:t>
      </w:r>
      <w:r>
        <w:rPr>
          <w:rFonts w:hint="eastAsia" w:ascii="仿宋" w:hAnsi="仿宋" w:eastAsia="仿宋" w:cs="仿宋"/>
          <w:color w:val="000000"/>
          <w:kern w:val="0"/>
          <w:sz w:val="30"/>
          <w:szCs w:val="30"/>
        </w:rPr>
        <w:t>年</w:t>
      </w:r>
      <w:r>
        <w:rPr>
          <w:rFonts w:hint="eastAsia" w:ascii="仿宋" w:hAnsi="仿宋" w:eastAsia="仿宋" w:cs="仿宋"/>
          <w:color w:val="000000"/>
          <w:kern w:val="0"/>
          <w:sz w:val="30"/>
          <w:szCs w:val="30"/>
          <w:lang w:val="en-US" w:eastAsia="zh-CN"/>
        </w:rPr>
        <w:t>2</w:t>
      </w:r>
      <w:r>
        <w:rPr>
          <w:rFonts w:hint="eastAsia" w:ascii="仿宋" w:hAnsi="仿宋" w:eastAsia="仿宋" w:cs="仿宋"/>
          <w:color w:val="000000"/>
          <w:kern w:val="0"/>
          <w:sz w:val="30"/>
          <w:szCs w:val="30"/>
        </w:rPr>
        <w:t>月</w:t>
      </w:r>
      <w:r>
        <w:rPr>
          <w:rFonts w:hint="eastAsia" w:ascii="仿宋" w:hAnsi="仿宋" w:eastAsia="仿宋" w:cs="仿宋"/>
          <w:color w:val="000000"/>
          <w:kern w:val="0"/>
          <w:sz w:val="30"/>
          <w:szCs w:val="30"/>
          <w:lang w:val="en-US" w:eastAsia="zh-CN"/>
        </w:rPr>
        <w:t>6</w:t>
      </w:r>
      <w:r>
        <w:rPr>
          <w:rFonts w:hint="eastAsia" w:ascii="仿宋" w:hAnsi="仿宋" w:eastAsia="仿宋" w:cs="仿宋"/>
          <w:color w:val="000000"/>
          <w:kern w:val="0"/>
          <w:sz w:val="30"/>
          <w:szCs w:val="30"/>
        </w:rPr>
        <w:t>日</w:t>
      </w:r>
    </w:p>
    <w:p w14:paraId="1AF73B9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ascii="仿宋" w:hAnsi="仿宋" w:eastAsia="仿宋" w:cs="仿宋"/>
          <w:color w:val="000000"/>
          <w:kern w:val="0"/>
          <w:sz w:val="30"/>
          <w:szCs w:val="30"/>
        </w:rPr>
      </w:pPr>
    </w:p>
    <w:sectPr>
      <w:footerReference r:id="rId3" w:type="default"/>
      <w:footerReference r:id="rId4" w:type="even"/>
      <w:pgSz w:w="11906" w:h="16838"/>
      <w:pgMar w:top="1531"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1ED72">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69F0047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E9044">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559E8CC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3C05D4"/>
    <w:multiLevelType w:val="multilevel"/>
    <w:tmpl w:val="3C3C05D4"/>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15A8910"/>
    <w:multiLevelType w:val="multilevel"/>
    <w:tmpl w:val="415A8910"/>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NGRiZGY1MzBhMTJkODIxZWRjZDQ4NWVkNDZkYmYifQ=="/>
  </w:docVars>
  <w:rsids>
    <w:rsidRoot w:val="00F01060"/>
    <w:rsid w:val="00002530"/>
    <w:rsid w:val="000045B8"/>
    <w:rsid w:val="000130C2"/>
    <w:rsid w:val="00016264"/>
    <w:rsid w:val="00017B87"/>
    <w:rsid w:val="000220BC"/>
    <w:rsid w:val="00022B54"/>
    <w:rsid w:val="0003365D"/>
    <w:rsid w:val="00041854"/>
    <w:rsid w:val="00045CEA"/>
    <w:rsid w:val="00046D52"/>
    <w:rsid w:val="00053D99"/>
    <w:rsid w:val="00066F30"/>
    <w:rsid w:val="00084B59"/>
    <w:rsid w:val="0009175B"/>
    <w:rsid w:val="000A55C1"/>
    <w:rsid w:val="000C6D05"/>
    <w:rsid w:val="000E6C93"/>
    <w:rsid w:val="000E7D75"/>
    <w:rsid w:val="000F7EC7"/>
    <w:rsid w:val="00101BE5"/>
    <w:rsid w:val="00104AD4"/>
    <w:rsid w:val="0010550E"/>
    <w:rsid w:val="00105E0D"/>
    <w:rsid w:val="00106522"/>
    <w:rsid w:val="00122ACC"/>
    <w:rsid w:val="00150877"/>
    <w:rsid w:val="001518B3"/>
    <w:rsid w:val="00161209"/>
    <w:rsid w:val="0016161C"/>
    <w:rsid w:val="00164A2E"/>
    <w:rsid w:val="00165857"/>
    <w:rsid w:val="00187190"/>
    <w:rsid w:val="00195C8B"/>
    <w:rsid w:val="001961A4"/>
    <w:rsid w:val="001B4947"/>
    <w:rsid w:val="001D2999"/>
    <w:rsid w:val="001D6117"/>
    <w:rsid w:val="001D7051"/>
    <w:rsid w:val="001E3E93"/>
    <w:rsid w:val="001E6730"/>
    <w:rsid w:val="001F6AE8"/>
    <w:rsid w:val="00224F6B"/>
    <w:rsid w:val="00264775"/>
    <w:rsid w:val="00265F8B"/>
    <w:rsid w:val="00275DE8"/>
    <w:rsid w:val="002777B6"/>
    <w:rsid w:val="0028538B"/>
    <w:rsid w:val="00286258"/>
    <w:rsid w:val="00297382"/>
    <w:rsid w:val="00297E4B"/>
    <w:rsid w:val="002B62F5"/>
    <w:rsid w:val="002C2B9F"/>
    <w:rsid w:val="002D1847"/>
    <w:rsid w:val="002D68D6"/>
    <w:rsid w:val="002D7A1C"/>
    <w:rsid w:val="002E6BAD"/>
    <w:rsid w:val="002F1203"/>
    <w:rsid w:val="002F31AA"/>
    <w:rsid w:val="003003AA"/>
    <w:rsid w:val="00312B1C"/>
    <w:rsid w:val="00315D51"/>
    <w:rsid w:val="00320A20"/>
    <w:rsid w:val="0032565D"/>
    <w:rsid w:val="003374E4"/>
    <w:rsid w:val="00342DA2"/>
    <w:rsid w:val="003431AF"/>
    <w:rsid w:val="00346C8A"/>
    <w:rsid w:val="003667AD"/>
    <w:rsid w:val="00370937"/>
    <w:rsid w:val="00397456"/>
    <w:rsid w:val="003B50ED"/>
    <w:rsid w:val="003C65CD"/>
    <w:rsid w:val="003E105F"/>
    <w:rsid w:val="003E26ED"/>
    <w:rsid w:val="003E3CD6"/>
    <w:rsid w:val="003E61DA"/>
    <w:rsid w:val="003F2AA1"/>
    <w:rsid w:val="003F2C19"/>
    <w:rsid w:val="003F4DFF"/>
    <w:rsid w:val="003F4F25"/>
    <w:rsid w:val="004115C9"/>
    <w:rsid w:val="004221E9"/>
    <w:rsid w:val="00430928"/>
    <w:rsid w:val="00441EBD"/>
    <w:rsid w:val="00447DC8"/>
    <w:rsid w:val="0047716E"/>
    <w:rsid w:val="004A7158"/>
    <w:rsid w:val="004B603D"/>
    <w:rsid w:val="004D7EA6"/>
    <w:rsid w:val="004E350F"/>
    <w:rsid w:val="004F7A6E"/>
    <w:rsid w:val="00502BB0"/>
    <w:rsid w:val="005040D0"/>
    <w:rsid w:val="005132D7"/>
    <w:rsid w:val="00537475"/>
    <w:rsid w:val="005637BB"/>
    <w:rsid w:val="005749B7"/>
    <w:rsid w:val="005776F0"/>
    <w:rsid w:val="00592029"/>
    <w:rsid w:val="00592DE2"/>
    <w:rsid w:val="00594FB5"/>
    <w:rsid w:val="005A04CC"/>
    <w:rsid w:val="005B1E8A"/>
    <w:rsid w:val="005B2CD0"/>
    <w:rsid w:val="005B319B"/>
    <w:rsid w:val="005C36FD"/>
    <w:rsid w:val="005D44C4"/>
    <w:rsid w:val="005D6181"/>
    <w:rsid w:val="005D6799"/>
    <w:rsid w:val="005E5D50"/>
    <w:rsid w:val="005F4DCC"/>
    <w:rsid w:val="005F6310"/>
    <w:rsid w:val="00614500"/>
    <w:rsid w:val="00620092"/>
    <w:rsid w:val="0062792A"/>
    <w:rsid w:val="00641134"/>
    <w:rsid w:val="00645983"/>
    <w:rsid w:val="006541E5"/>
    <w:rsid w:val="00666DD9"/>
    <w:rsid w:val="00680054"/>
    <w:rsid w:val="00685E3D"/>
    <w:rsid w:val="00691AA8"/>
    <w:rsid w:val="00692DD1"/>
    <w:rsid w:val="006952EC"/>
    <w:rsid w:val="006973B4"/>
    <w:rsid w:val="006B3DD4"/>
    <w:rsid w:val="006C50F8"/>
    <w:rsid w:val="006C5384"/>
    <w:rsid w:val="006E5605"/>
    <w:rsid w:val="00712E1A"/>
    <w:rsid w:val="0075074F"/>
    <w:rsid w:val="00753345"/>
    <w:rsid w:val="00753F26"/>
    <w:rsid w:val="00755C7B"/>
    <w:rsid w:val="0076461C"/>
    <w:rsid w:val="00765393"/>
    <w:rsid w:val="00766D8D"/>
    <w:rsid w:val="00767D60"/>
    <w:rsid w:val="00772D51"/>
    <w:rsid w:val="007805EB"/>
    <w:rsid w:val="00780EAB"/>
    <w:rsid w:val="00793572"/>
    <w:rsid w:val="007971B7"/>
    <w:rsid w:val="00797B39"/>
    <w:rsid w:val="007B0D20"/>
    <w:rsid w:val="007B12D0"/>
    <w:rsid w:val="007C5E3C"/>
    <w:rsid w:val="007C73E6"/>
    <w:rsid w:val="007D0C23"/>
    <w:rsid w:val="007E5065"/>
    <w:rsid w:val="007F23D9"/>
    <w:rsid w:val="007F5365"/>
    <w:rsid w:val="008207A6"/>
    <w:rsid w:val="0082397E"/>
    <w:rsid w:val="008261A0"/>
    <w:rsid w:val="00826E6F"/>
    <w:rsid w:val="0085203E"/>
    <w:rsid w:val="008620BC"/>
    <w:rsid w:val="008641D1"/>
    <w:rsid w:val="00883A66"/>
    <w:rsid w:val="008955EA"/>
    <w:rsid w:val="00895749"/>
    <w:rsid w:val="008957F7"/>
    <w:rsid w:val="00896F89"/>
    <w:rsid w:val="008B01B8"/>
    <w:rsid w:val="008B3318"/>
    <w:rsid w:val="008B5C35"/>
    <w:rsid w:val="008C77BC"/>
    <w:rsid w:val="008D5CB1"/>
    <w:rsid w:val="009244A6"/>
    <w:rsid w:val="00941B10"/>
    <w:rsid w:val="00946663"/>
    <w:rsid w:val="009568F1"/>
    <w:rsid w:val="00961681"/>
    <w:rsid w:val="0096311F"/>
    <w:rsid w:val="009644D4"/>
    <w:rsid w:val="009652AA"/>
    <w:rsid w:val="009815EE"/>
    <w:rsid w:val="009848F0"/>
    <w:rsid w:val="00985830"/>
    <w:rsid w:val="009870F9"/>
    <w:rsid w:val="009A584B"/>
    <w:rsid w:val="009A7A3B"/>
    <w:rsid w:val="009B00D7"/>
    <w:rsid w:val="009B2426"/>
    <w:rsid w:val="009E374F"/>
    <w:rsid w:val="009F1015"/>
    <w:rsid w:val="009F229D"/>
    <w:rsid w:val="00A12672"/>
    <w:rsid w:val="00A150E4"/>
    <w:rsid w:val="00A2204B"/>
    <w:rsid w:val="00A26A44"/>
    <w:rsid w:val="00A30FB9"/>
    <w:rsid w:val="00A3368B"/>
    <w:rsid w:val="00A377FD"/>
    <w:rsid w:val="00A37AC3"/>
    <w:rsid w:val="00A51DF0"/>
    <w:rsid w:val="00A5261D"/>
    <w:rsid w:val="00A5549A"/>
    <w:rsid w:val="00A60D00"/>
    <w:rsid w:val="00A70656"/>
    <w:rsid w:val="00A730EF"/>
    <w:rsid w:val="00A7639E"/>
    <w:rsid w:val="00A81826"/>
    <w:rsid w:val="00A924A6"/>
    <w:rsid w:val="00AA73C6"/>
    <w:rsid w:val="00AC7B47"/>
    <w:rsid w:val="00AE72D3"/>
    <w:rsid w:val="00AE7779"/>
    <w:rsid w:val="00B07BF3"/>
    <w:rsid w:val="00B217F1"/>
    <w:rsid w:val="00B3394E"/>
    <w:rsid w:val="00B40E6C"/>
    <w:rsid w:val="00B42381"/>
    <w:rsid w:val="00B4656B"/>
    <w:rsid w:val="00B607B9"/>
    <w:rsid w:val="00B6416E"/>
    <w:rsid w:val="00B7118F"/>
    <w:rsid w:val="00BE53AA"/>
    <w:rsid w:val="00BF5A10"/>
    <w:rsid w:val="00C00895"/>
    <w:rsid w:val="00C0387D"/>
    <w:rsid w:val="00C052C0"/>
    <w:rsid w:val="00C052EC"/>
    <w:rsid w:val="00C14319"/>
    <w:rsid w:val="00C3494E"/>
    <w:rsid w:val="00C403F4"/>
    <w:rsid w:val="00C52D9E"/>
    <w:rsid w:val="00C61A43"/>
    <w:rsid w:val="00C6442C"/>
    <w:rsid w:val="00C67479"/>
    <w:rsid w:val="00C82EE1"/>
    <w:rsid w:val="00CB7182"/>
    <w:rsid w:val="00CC08D2"/>
    <w:rsid w:val="00CD1F30"/>
    <w:rsid w:val="00CD248C"/>
    <w:rsid w:val="00CD52EE"/>
    <w:rsid w:val="00CF43DA"/>
    <w:rsid w:val="00CF5A1D"/>
    <w:rsid w:val="00CF6BD2"/>
    <w:rsid w:val="00CF7B35"/>
    <w:rsid w:val="00D10236"/>
    <w:rsid w:val="00D176CA"/>
    <w:rsid w:val="00D400F0"/>
    <w:rsid w:val="00D41A68"/>
    <w:rsid w:val="00D54F71"/>
    <w:rsid w:val="00D559DB"/>
    <w:rsid w:val="00D62F3D"/>
    <w:rsid w:val="00D63803"/>
    <w:rsid w:val="00D70887"/>
    <w:rsid w:val="00D72171"/>
    <w:rsid w:val="00D82E50"/>
    <w:rsid w:val="00D876AC"/>
    <w:rsid w:val="00DA4DBA"/>
    <w:rsid w:val="00DA4EA4"/>
    <w:rsid w:val="00DC1136"/>
    <w:rsid w:val="00DC68C9"/>
    <w:rsid w:val="00DD605A"/>
    <w:rsid w:val="00DD67CE"/>
    <w:rsid w:val="00DD7D99"/>
    <w:rsid w:val="00DF2079"/>
    <w:rsid w:val="00DF3D9D"/>
    <w:rsid w:val="00E00C1C"/>
    <w:rsid w:val="00E041CE"/>
    <w:rsid w:val="00E12939"/>
    <w:rsid w:val="00E1310B"/>
    <w:rsid w:val="00E160F9"/>
    <w:rsid w:val="00E17AC9"/>
    <w:rsid w:val="00E2124C"/>
    <w:rsid w:val="00E22472"/>
    <w:rsid w:val="00E230D9"/>
    <w:rsid w:val="00E43146"/>
    <w:rsid w:val="00E43359"/>
    <w:rsid w:val="00E454AB"/>
    <w:rsid w:val="00E679E1"/>
    <w:rsid w:val="00E804EF"/>
    <w:rsid w:val="00E876A6"/>
    <w:rsid w:val="00EA15E7"/>
    <w:rsid w:val="00EB0F1B"/>
    <w:rsid w:val="00EB6E55"/>
    <w:rsid w:val="00EC4F04"/>
    <w:rsid w:val="00EE134B"/>
    <w:rsid w:val="00F01060"/>
    <w:rsid w:val="00F02366"/>
    <w:rsid w:val="00F11659"/>
    <w:rsid w:val="00F168F1"/>
    <w:rsid w:val="00F251AC"/>
    <w:rsid w:val="00F2611C"/>
    <w:rsid w:val="00F60856"/>
    <w:rsid w:val="00F713C4"/>
    <w:rsid w:val="00F76F83"/>
    <w:rsid w:val="00F80042"/>
    <w:rsid w:val="00F94B86"/>
    <w:rsid w:val="00F9503D"/>
    <w:rsid w:val="00FC3253"/>
    <w:rsid w:val="00FC5228"/>
    <w:rsid w:val="00FD042E"/>
    <w:rsid w:val="00FD31AB"/>
    <w:rsid w:val="00FD7251"/>
    <w:rsid w:val="00FE7CC4"/>
    <w:rsid w:val="00FF27E7"/>
    <w:rsid w:val="04062E0E"/>
    <w:rsid w:val="0659586C"/>
    <w:rsid w:val="07424CE5"/>
    <w:rsid w:val="0D51729D"/>
    <w:rsid w:val="0E6A46D2"/>
    <w:rsid w:val="19411027"/>
    <w:rsid w:val="21A00811"/>
    <w:rsid w:val="21D96333"/>
    <w:rsid w:val="242C3C7F"/>
    <w:rsid w:val="287A0545"/>
    <w:rsid w:val="2D65543B"/>
    <w:rsid w:val="403A6842"/>
    <w:rsid w:val="40435681"/>
    <w:rsid w:val="41AF1B84"/>
    <w:rsid w:val="46D6135B"/>
    <w:rsid w:val="471338C7"/>
    <w:rsid w:val="48B4226E"/>
    <w:rsid w:val="498B571A"/>
    <w:rsid w:val="4AE11787"/>
    <w:rsid w:val="4DF00C86"/>
    <w:rsid w:val="4EC02B8F"/>
    <w:rsid w:val="55A6769E"/>
    <w:rsid w:val="58F05C08"/>
    <w:rsid w:val="6EA17AE9"/>
    <w:rsid w:val="7AE74C0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kern w:val="0"/>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6">
    <w:name w:val="page number"/>
    <w:autoRedefine/>
    <w:qFormat/>
    <w:uiPriority w:val="99"/>
    <w:rPr>
      <w:rFonts w:cs="Times New Roman"/>
    </w:rPr>
  </w:style>
  <w:style w:type="character" w:customStyle="1" w:styleId="7">
    <w:name w:val="页眉 Char"/>
    <w:link w:val="3"/>
    <w:autoRedefine/>
    <w:semiHidden/>
    <w:qFormat/>
    <w:locked/>
    <w:uiPriority w:val="99"/>
    <w:rPr>
      <w:rFonts w:ascii="Times New Roman" w:hAnsi="Times New Roman" w:eastAsia="宋体" w:cs="Times New Roman"/>
      <w:sz w:val="18"/>
      <w:szCs w:val="18"/>
    </w:rPr>
  </w:style>
  <w:style w:type="character" w:customStyle="1" w:styleId="8">
    <w:name w:val="页脚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2739</Words>
  <Characters>2852</Characters>
  <Lines>4</Lines>
  <Paragraphs>1</Paragraphs>
  <TotalTime>4</TotalTime>
  <ScaleCrop>false</ScaleCrop>
  <LinksUpToDate>false</LinksUpToDate>
  <CharactersWithSpaces>3115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2018-04-27T03:07:00Z</dcterms:created>
  <dc:creator>Custmor</dc:creator>
  <cp:lastModifiedBy>admin</cp:lastModifiedBy>
  <cp:lastPrinted>2024-01-29T11:47:00Z</cp:lastPrinted>
  <dcterms:modified xsi:type="dcterms:W3CDTF">2025-05-09T09:00:08Z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2EDCD6C4E54743198D50EAFC72C96D31_13</vt:lpwstr>
  </property>
  <property fmtid="{D5CDD505-2E9C-101B-9397-08002B2CF9AE}" pid="4" name="KSOTemplateDocerSaveRecord">
    <vt:lpwstr>eyJoZGlkIjoiZGE4Nzg1MDJkY2JjNmYyNDI1Yzk4ODYzYjU2OTgxNWYifQ==</vt:lpwstr>
  </property>
</Properties>
</file>