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DDA413A">
      <w:pPr>
        <w:spacing w:line="600" w:lineRule="exact"/>
        <w:rPr>
          <w:rFonts w:ascii="仿宋_GB2312" w:eastAsia="仿宋_GB2312"/>
          <w:sz w:val="32"/>
          <w:szCs w:val="32"/>
        </w:rPr>
      </w:pPr>
    </w:p>
    <w:p w14:paraId="13AE4951">
      <w:pPr>
        <w:widowControl/>
        <w:spacing w:line="330" w:lineRule="atLeast"/>
        <w:rPr>
          <w:rFonts w:ascii="仿宋" w:hAnsi="仿宋" w:eastAsia="仿宋"/>
          <w:b/>
          <w:bCs/>
          <w:color w:val="000000"/>
          <w:sz w:val="30"/>
          <w:szCs w:val="30"/>
        </w:rPr>
      </w:pPr>
      <w:r>
        <w:rPr>
          <w:rFonts w:ascii="仿宋" w:hAnsi="仿宋" w:eastAsia="仿宋" w:cs="仿宋"/>
          <w:b/>
          <w:bCs/>
          <w:sz w:val="30"/>
          <w:szCs w:val="30"/>
        </w:rPr>
        <w:t xml:space="preserve">      </w:t>
      </w:r>
      <w:r>
        <w:rPr>
          <w:rFonts w:hint="eastAsia" w:ascii="仿宋" w:hAnsi="仿宋" w:eastAsia="仿宋" w:cs="仿宋"/>
          <w:b/>
          <w:bCs/>
          <w:sz w:val="30"/>
          <w:szCs w:val="30"/>
        </w:rPr>
        <w:t>高新区人力资源和社会保障局</w:t>
      </w:r>
      <w:r>
        <w:rPr>
          <w:rFonts w:ascii="仿宋" w:hAnsi="仿宋" w:eastAsia="仿宋" w:cs="仿宋"/>
          <w:b/>
          <w:bCs/>
          <w:sz w:val="30"/>
          <w:szCs w:val="30"/>
        </w:rPr>
        <w:t>201</w:t>
      </w:r>
      <w:r>
        <w:rPr>
          <w:rFonts w:hint="eastAsia" w:ascii="仿宋" w:hAnsi="仿宋" w:eastAsia="仿宋" w:cs="仿宋"/>
          <w:b/>
          <w:bCs/>
          <w:sz w:val="30"/>
          <w:szCs w:val="30"/>
        </w:rPr>
        <w:t>9年部门预算</w:t>
      </w:r>
      <w:r>
        <w:rPr>
          <w:rFonts w:ascii="仿宋" w:hAnsi="仿宋" w:eastAsia="仿宋" w:cs="仿宋"/>
          <w:b/>
          <w:bCs/>
          <w:sz w:val="30"/>
          <w:szCs w:val="30"/>
        </w:rPr>
        <w:t xml:space="preserve">                                                                                                                                                                                                              </w:t>
      </w:r>
    </w:p>
    <w:p w14:paraId="1FEEE9BC">
      <w:pPr>
        <w:widowControl/>
        <w:spacing w:line="330" w:lineRule="atLeast"/>
        <w:jc w:val="left"/>
        <w:rPr>
          <w:rFonts w:ascii="Verdana" w:hAnsi="Verdana" w:eastAsia="仿宋"/>
          <w:color w:val="000000"/>
          <w:kern w:val="0"/>
          <w:sz w:val="30"/>
          <w:szCs w:val="30"/>
        </w:rPr>
      </w:pPr>
      <w:r>
        <w:rPr>
          <w:rFonts w:ascii="Verdana" w:hAnsi="Verdana" w:eastAsia="仿宋"/>
          <w:color w:val="000000"/>
          <w:kern w:val="0"/>
          <w:sz w:val="30"/>
          <w:szCs w:val="30"/>
        </w:rPr>
        <w:t> </w:t>
      </w:r>
    </w:p>
    <w:p w14:paraId="70EF411A">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第一部分</w:t>
      </w:r>
      <w:r>
        <w:rPr>
          <w:rFonts w:ascii="仿宋" w:hAnsi="仿宋" w:eastAsia="仿宋" w:cs="仿宋"/>
          <w:color w:val="000000"/>
          <w:kern w:val="0"/>
          <w:sz w:val="30"/>
          <w:szCs w:val="30"/>
        </w:rPr>
        <w:t xml:space="preserve"> </w:t>
      </w:r>
      <w:r>
        <w:rPr>
          <w:rFonts w:hint="eastAsia" w:ascii="仿宋" w:hAnsi="仿宋" w:eastAsia="仿宋" w:cs="仿宋"/>
          <w:color w:val="000000"/>
          <w:kern w:val="0"/>
          <w:sz w:val="30"/>
          <w:szCs w:val="30"/>
        </w:rPr>
        <w:t>部门概况</w:t>
      </w:r>
    </w:p>
    <w:p w14:paraId="1848CB4F">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一、主要职责：</w:t>
      </w:r>
    </w:p>
    <w:p w14:paraId="42BE9DF1">
      <w:pPr>
        <w:spacing w:line="560" w:lineRule="exact"/>
        <w:ind w:firstLine="600" w:firstLineChars="200"/>
        <w:rPr>
          <w:rFonts w:ascii="仿宋" w:hAnsi="仿宋" w:eastAsia="仿宋" w:cs="仿宋"/>
          <w:color w:val="000000"/>
          <w:kern w:val="0"/>
          <w:sz w:val="30"/>
          <w:szCs w:val="30"/>
        </w:rPr>
      </w:pPr>
      <w:r>
        <w:rPr>
          <w:rFonts w:ascii="仿宋" w:hAnsi="仿宋" w:eastAsia="仿宋" w:cs="仿宋"/>
          <w:color w:val="000000"/>
          <w:kern w:val="0"/>
          <w:sz w:val="30"/>
          <w:szCs w:val="30"/>
        </w:rPr>
        <w:t>1</w:t>
      </w:r>
      <w:r>
        <w:rPr>
          <w:rFonts w:hint="eastAsia" w:ascii="仿宋" w:hAnsi="仿宋" w:eastAsia="仿宋" w:cs="仿宋"/>
          <w:color w:val="000000"/>
          <w:kern w:val="0"/>
          <w:sz w:val="30"/>
          <w:szCs w:val="30"/>
        </w:rPr>
        <w:t>、贯彻执行党和国家机构编制工作的方针、政策、法律、法规。结合本区实际，研究制定全区机构编制管理规定和办法；负责园区党工委、管委会机关、直属事业单位和所辖街道的机构设置、岗位设置和人员编制管理工作；负责编委办公室的其它日常工作；</w:t>
      </w:r>
    </w:p>
    <w:p w14:paraId="799ED5BF">
      <w:pPr>
        <w:spacing w:line="560" w:lineRule="exact"/>
        <w:ind w:firstLine="600" w:firstLineChars="200"/>
        <w:rPr>
          <w:rFonts w:ascii="仿宋" w:hAnsi="仿宋" w:eastAsia="仿宋" w:cs="仿宋"/>
          <w:color w:val="000000"/>
          <w:kern w:val="0"/>
          <w:sz w:val="30"/>
          <w:szCs w:val="30"/>
        </w:rPr>
      </w:pPr>
      <w:r>
        <w:rPr>
          <w:rFonts w:ascii="仿宋" w:hAnsi="仿宋" w:eastAsia="仿宋" w:cs="仿宋"/>
          <w:color w:val="000000"/>
          <w:kern w:val="0"/>
          <w:sz w:val="30"/>
          <w:szCs w:val="30"/>
        </w:rPr>
        <w:t>2</w:t>
      </w:r>
      <w:r>
        <w:rPr>
          <w:rFonts w:hint="eastAsia" w:ascii="仿宋" w:hAnsi="仿宋" w:eastAsia="仿宋" w:cs="仿宋"/>
          <w:color w:val="000000"/>
          <w:kern w:val="0"/>
          <w:sz w:val="30"/>
          <w:szCs w:val="30"/>
        </w:rPr>
        <w:t>、负责园区党工委、管委会机关、直属事业单位和所辖街道的公务员、事业编制人员及临时雇员的招聘、录用、考核、调配、奖惩等管理工作；</w:t>
      </w:r>
      <w:r>
        <w:rPr>
          <w:rFonts w:ascii="仿宋" w:hAnsi="仿宋" w:eastAsia="仿宋" w:cs="仿宋"/>
          <w:color w:val="000000"/>
          <w:kern w:val="0"/>
          <w:sz w:val="30"/>
          <w:szCs w:val="30"/>
        </w:rPr>
        <w:t xml:space="preserve"> </w:t>
      </w:r>
    </w:p>
    <w:p w14:paraId="7682ADFC">
      <w:pPr>
        <w:spacing w:line="560" w:lineRule="exact"/>
        <w:ind w:firstLine="600" w:firstLineChars="200"/>
        <w:rPr>
          <w:rFonts w:ascii="仿宋" w:hAnsi="仿宋" w:eastAsia="仿宋" w:cs="仿宋"/>
          <w:color w:val="000000"/>
          <w:kern w:val="0"/>
          <w:sz w:val="30"/>
          <w:szCs w:val="30"/>
        </w:rPr>
      </w:pPr>
      <w:r>
        <w:rPr>
          <w:rFonts w:ascii="仿宋" w:hAnsi="仿宋" w:eastAsia="仿宋" w:cs="仿宋"/>
          <w:color w:val="000000"/>
          <w:kern w:val="0"/>
          <w:sz w:val="30"/>
          <w:szCs w:val="30"/>
        </w:rPr>
        <w:t>3</w:t>
      </w:r>
      <w:r>
        <w:rPr>
          <w:rFonts w:hint="eastAsia" w:ascii="仿宋" w:hAnsi="仿宋" w:eastAsia="仿宋" w:cs="仿宋"/>
          <w:color w:val="000000"/>
          <w:kern w:val="0"/>
          <w:sz w:val="30"/>
          <w:szCs w:val="30"/>
        </w:rPr>
        <w:t>、负责园区党工委、管委会机关、直属企事业单位和所辖街道薪酬分配的总体调控和相关审批；</w:t>
      </w:r>
    </w:p>
    <w:p w14:paraId="2D4CC3A6">
      <w:pPr>
        <w:spacing w:line="560" w:lineRule="exact"/>
        <w:ind w:firstLine="600" w:firstLineChars="200"/>
        <w:rPr>
          <w:rFonts w:ascii="仿宋" w:hAnsi="仿宋" w:eastAsia="仿宋" w:cs="仿宋"/>
          <w:color w:val="000000"/>
          <w:kern w:val="0"/>
          <w:sz w:val="30"/>
          <w:szCs w:val="30"/>
        </w:rPr>
      </w:pPr>
      <w:r>
        <w:rPr>
          <w:rFonts w:ascii="仿宋" w:hAnsi="仿宋" w:eastAsia="仿宋" w:cs="仿宋"/>
          <w:color w:val="000000"/>
          <w:kern w:val="0"/>
          <w:sz w:val="30"/>
          <w:szCs w:val="30"/>
        </w:rPr>
        <w:t>4</w:t>
      </w:r>
      <w:r>
        <w:rPr>
          <w:rFonts w:hint="eastAsia" w:ascii="仿宋" w:hAnsi="仿宋" w:eastAsia="仿宋" w:cs="仿宋"/>
          <w:color w:val="000000"/>
          <w:kern w:val="0"/>
          <w:sz w:val="30"/>
          <w:szCs w:val="30"/>
        </w:rPr>
        <w:t>、负责本级政府参加大连市政府年度工作绩效评估的组织协调工作；指导党工委、管委会机关、直属事业单位和所辖街道开展绩效管理和考核工作；</w:t>
      </w:r>
      <w:r>
        <w:rPr>
          <w:rFonts w:ascii="仿宋" w:hAnsi="仿宋" w:eastAsia="仿宋" w:cs="仿宋"/>
          <w:color w:val="000000"/>
          <w:kern w:val="0"/>
          <w:sz w:val="30"/>
          <w:szCs w:val="30"/>
        </w:rPr>
        <w:t xml:space="preserve"> </w:t>
      </w:r>
    </w:p>
    <w:p w14:paraId="1173D770">
      <w:pPr>
        <w:spacing w:line="560" w:lineRule="exact"/>
        <w:ind w:firstLine="600" w:firstLineChars="200"/>
        <w:rPr>
          <w:rFonts w:ascii="仿宋" w:hAnsi="仿宋" w:eastAsia="仿宋" w:cs="仿宋"/>
          <w:color w:val="000000"/>
          <w:kern w:val="0"/>
          <w:sz w:val="30"/>
          <w:szCs w:val="30"/>
        </w:rPr>
      </w:pPr>
      <w:r>
        <w:rPr>
          <w:rFonts w:ascii="仿宋" w:hAnsi="仿宋" w:eastAsia="仿宋" w:cs="仿宋"/>
          <w:color w:val="000000"/>
          <w:kern w:val="0"/>
          <w:sz w:val="30"/>
          <w:szCs w:val="30"/>
        </w:rPr>
        <w:t>5</w:t>
      </w:r>
      <w:r>
        <w:rPr>
          <w:rFonts w:hint="eastAsia" w:ascii="仿宋" w:hAnsi="仿宋" w:eastAsia="仿宋" w:cs="仿宋"/>
          <w:color w:val="000000"/>
          <w:kern w:val="0"/>
          <w:sz w:val="30"/>
          <w:szCs w:val="30"/>
        </w:rPr>
        <w:t>、制定园区管委会直属企业分配制度指导意见，调控企业工资分配水平，实行工资总额管理控制，加强工资审核和监管；</w:t>
      </w:r>
    </w:p>
    <w:p w14:paraId="558B5F04">
      <w:pPr>
        <w:spacing w:line="560" w:lineRule="exact"/>
        <w:ind w:firstLine="600" w:firstLineChars="200"/>
        <w:rPr>
          <w:rFonts w:ascii="仿宋" w:hAnsi="仿宋" w:eastAsia="仿宋" w:cs="仿宋"/>
          <w:color w:val="000000"/>
          <w:kern w:val="0"/>
          <w:sz w:val="30"/>
          <w:szCs w:val="30"/>
        </w:rPr>
      </w:pPr>
      <w:r>
        <w:rPr>
          <w:rFonts w:ascii="仿宋" w:hAnsi="仿宋" w:eastAsia="仿宋" w:cs="仿宋"/>
          <w:color w:val="000000"/>
          <w:kern w:val="0"/>
          <w:sz w:val="30"/>
          <w:szCs w:val="30"/>
        </w:rPr>
        <w:t>6</w:t>
      </w:r>
      <w:r>
        <w:rPr>
          <w:rFonts w:hint="eastAsia" w:ascii="仿宋" w:hAnsi="仿宋" w:eastAsia="仿宋" w:cs="仿宋"/>
          <w:color w:val="000000"/>
          <w:kern w:val="0"/>
          <w:sz w:val="30"/>
          <w:szCs w:val="30"/>
        </w:rPr>
        <w:t>、组织制定全区人才发展规划、人才政策和管理规定，经批准后组织实施；</w:t>
      </w:r>
    </w:p>
    <w:p w14:paraId="425B95EC">
      <w:pPr>
        <w:spacing w:line="560" w:lineRule="exact"/>
        <w:ind w:firstLine="600" w:firstLineChars="200"/>
        <w:rPr>
          <w:rFonts w:ascii="仿宋" w:hAnsi="仿宋" w:eastAsia="仿宋" w:cs="仿宋"/>
          <w:color w:val="000000"/>
          <w:kern w:val="0"/>
          <w:sz w:val="30"/>
          <w:szCs w:val="30"/>
        </w:rPr>
      </w:pPr>
      <w:r>
        <w:rPr>
          <w:rFonts w:ascii="仿宋" w:hAnsi="仿宋" w:eastAsia="仿宋" w:cs="仿宋"/>
          <w:color w:val="000000"/>
          <w:kern w:val="0"/>
          <w:sz w:val="30"/>
          <w:szCs w:val="30"/>
        </w:rPr>
        <w:t>7</w:t>
      </w:r>
      <w:r>
        <w:rPr>
          <w:rFonts w:hint="eastAsia" w:ascii="仿宋" w:hAnsi="仿宋" w:eastAsia="仿宋" w:cs="仿宋"/>
          <w:color w:val="000000"/>
          <w:kern w:val="0"/>
          <w:sz w:val="30"/>
          <w:szCs w:val="30"/>
        </w:rPr>
        <w:t>、负责园区管委会机关和直属事业单位专业技术人员职称聘任和技能人员技术等级考核工作；</w:t>
      </w:r>
    </w:p>
    <w:p w14:paraId="778EAA20">
      <w:pPr>
        <w:spacing w:line="560" w:lineRule="exact"/>
        <w:ind w:firstLine="600" w:firstLineChars="200"/>
        <w:rPr>
          <w:rFonts w:ascii="仿宋" w:hAnsi="仿宋" w:eastAsia="仿宋" w:cs="仿宋"/>
          <w:color w:val="000000"/>
          <w:kern w:val="0"/>
          <w:sz w:val="30"/>
          <w:szCs w:val="30"/>
        </w:rPr>
      </w:pPr>
      <w:r>
        <w:rPr>
          <w:rFonts w:ascii="仿宋" w:hAnsi="仿宋" w:eastAsia="仿宋" w:cs="仿宋"/>
          <w:color w:val="000000"/>
          <w:kern w:val="0"/>
          <w:sz w:val="30"/>
          <w:szCs w:val="30"/>
        </w:rPr>
        <w:t>8</w:t>
      </w:r>
      <w:r>
        <w:rPr>
          <w:rFonts w:hint="eastAsia" w:ascii="仿宋" w:hAnsi="仿宋" w:eastAsia="仿宋" w:cs="仿宋"/>
          <w:color w:val="000000"/>
          <w:kern w:val="0"/>
          <w:sz w:val="30"/>
          <w:szCs w:val="30"/>
        </w:rPr>
        <w:t>、负责全区高级人才、海外留学人才以及引进国外智力管理工作；</w:t>
      </w:r>
      <w:r>
        <w:rPr>
          <w:rFonts w:ascii="仿宋" w:hAnsi="仿宋" w:eastAsia="仿宋" w:cs="仿宋"/>
          <w:color w:val="000000"/>
          <w:kern w:val="0"/>
          <w:sz w:val="30"/>
          <w:szCs w:val="30"/>
        </w:rPr>
        <w:t xml:space="preserve"> </w:t>
      </w:r>
    </w:p>
    <w:p w14:paraId="7EE6604B">
      <w:pPr>
        <w:spacing w:line="560" w:lineRule="exact"/>
        <w:ind w:firstLine="600" w:firstLineChars="200"/>
        <w:rPr>
          <w:rFonts w:ascii="仿宋" w:hAnsi="仿宋" w:eastAsia="仿宋" w:cs="仿宋"/>
          <w:color w:val="000000"/>
          <w:kern w:val="0"/>
          <w:sz w:val="30"/>
          <w:szCs w:val="30"/>
        </w:rPr>
      </w:pPr>
      <w:r>
        <w:rPr>
          <w:rFonts w:ascii="仿宋" w:hAnsi="仿宋" w:eastAsia="仿宋" w:cs="仿宋"/>
          <w:color w:val="000000"/>
          <w:kern w:val="0"/>
          <w:sz w:val="30"/>
          <w:szCs w:val="30"/>
        </w:rPr>
        <w:t>9</w:t>
      </w:r>
      <w:r>
        <w:rPr>
          <w:rFonts w:hint="eastAsia" w:ascii="仿宋" w:hAnsi="仿宋" w:eastAsia="仿宋" w:cs="仿宋"/>
          <w:color w:val="000000"/>
          <w:kern w:val="0"/>
          <w:sz w:val="30"/>
          <w:szCs w:val="30"/>
        </w:rPr>
        <w:t>、负责园区博士后科研工作站和博士后科研基地管理工作；</w:t>
      </w:r>
    </w:p>
    <w:p w14:paraId="7B43D258">
      <w:pPr>
        <w:spacing w:line="560" w:lineRule="exact"/>
        <w:ind w:firstLine="600" w:firstLineChars="200"/>
        <w:rPr>
          <w:rFonts w:ascii="仿宋" w:hAnsi="仿宋" w:eastAsia="仿宋" w:cs="仿宋"/>
          <w:color w:val="000000"/>
          <w:kern w:val="0"/>
          <w:sz w:val="30"/>
          <w:szCs w:val="30"/>
        </w:rPr>
      </w:pPr>
      <w:r>
        <w:rPr>
          <w:rFonts w:ascii="仿宋" w:hAnsi="仿宋" w:eastAsia="仿宋" w:cs="仿宋"/>
          <w:color w:val="000000"/>
          <w:kern w:val="0"/>
          <w:sz w:val="30"/>
          <w:szCs w:val="30"/>
        </w:rPr>
        <w:t>10</w:t>
      </w:r>
      <w:r>
        <w:rPr>
          <w:rFonts w:hint="eastAsia" w:ascii="仿宋" w:hAnsi="仿宋" w:eastAsia="仿宋" w:cs="仿宋"/>
          <w:color w:val="000000"/>
          <w:kern w:val="0"/>
          <w:sz w:val="30"/>
          <w:szCs w:val="30"/>
        </w:rPr>
        <w:t>、负责军队转业干部接收安置工作；</w:t>
      </w:r>
    </w:p>
    <w:p w14:paraId="76F28736">
      <w:pPr>
        <w:spacing w:line="560" w:lineRule="exact"/>
        <w:ind w:firstLine="600" w:firstLineChars="200"/>
        <w:rPr>
          <w:rFonts w:ascii="仿宋" w:hAnsi="仿宋" w:eastAsia="仿宋" w:cs="仿宋"/>
          <w:color w:val="000000"/>
          <w:kern w:val="0"/>
          <w:sz w:val="30"/>
          <w:szCs w:val="30"/>
        </w:rPr>
      </w:pPr>
      <w:r>
        <w:rPr>
          <w:rFonts w:ascii="仿宋" w:hAnsi="仿宋" w:eastAsia="仿宋" w:cs="仿宋"/>
          <w:color w:val="000000"/>
          <w:kern w:val="0"/>
          <w:sz w:val="30"/>
          <w:szCs w:val="30"/>
        </w:rPr>
        <w:t>11</w:t>
      </w:r>
      <w:r>
        <w:rPr>
          <w:rFonts w:hint="eastAsia" w:ascii="仿宋" w:hAnsi="仿宋" w:eastAsia="仿宋" w:cs="仿宋"/>
          <w:color w:val="000000"/>
          <w:kern w:val="0"/>
          <w:sz w:val="30"/>
          <w:szCs w:val="30"/>
        </w:rPr>
        <w:t>、负责园区企事业单位人员人事关系接转；</w:t>
      </w:r>
    </w:p>
    <w:p w14:paraId="142D0D8F">
      <w:pPr>
        <w:spacing w:line="560" w:lineRule="exact"/>
        <w:ind w:firstLine="600" w:firstLineChars="200"/>
        <w:rPr>
          <w:rFonts w:ascii="仿宋" w:hAnsi="仿宋" w:eastAsia="仿宋" w:cs="仿宋"/>
          <w:color w:val="000000"/>
          <w:kern w:val="0"/>
          <w:sz w:val="30"/>
          <w:szCs w:val="30"/>
        </w:rPr>
      </w:pPr>
      <w:r>
        <w:rPr>
          <w:rFonts w:ascii="仿宋" w:hAnsi="仿宋" w:eastAsia="仿宋" w:cs="仿宋"/>
          <w:color w:val="000000"/>
          <w:kern w:val="0"/>
          <w:sz w:val="30"/>
          <w:szCs w:val="30"/>
        </w:rPr>
        <w:t>12</w:t>
      </w:r>
      <w:r>
        <w:rPr>
          <w:rFonts w:hint="eastAsia" w:ascii="仿宋" w:hAnsi="仿宋" w:eastAsia="仿宋" w:cs="仿宋"/>
          <w:color w:val="000000"/>
          <w:kern w:val="0"/>
          <w:sz w:val="30"/>
          <w:szCs w:val="30"/>
        </w:rPr>
        <w:t>、负责园区党工委、管委会机关、直属事业单位和所辖街道机构人员的教育培训工作；</w:t>
      </w:r>
    </w:p>
    <w:p w14:paraId="4CFED67E">
      <w:pPr>
        <w:spacing w:line="560" w:lineRule="exact"/>
        <w:ind w:firstLine="600" w:firstLineChars="200"/>
        <w:rPr>
          <w:rFonts w:ascii="仿宋" w:hAnsi="仿宋" w:eastAsia="仿宋" w:cs="仿宋"/>
          <w:color w:val="000000"/>
          <w:kern w:val="0"/>
          <w:sz w:val="30"/>
          <w:szCs w:val="30"/>
        </w:rPr>
      </w:pPr>
      <w:r>
        <w:rPr>
          <w:rFonts w:ascii="仿宋" w:hAnsi="仿宋" w:eastAsia="仿宋" w:cs="仿宋"/>
          <w:color w:val="000000"/>
          <w:kern w:val="0"/>
          <w:sz w:val="30"/>
          <w:szCs w:val="30"/>
        </w:rPr>
        <w:t>13</w:t>
      </w:r>
      <w:r>
        <w:rPr>
          <w:rFonts w:hint="eastAsia" w:ascii="仿宋" w:hAnsi="仿宋" w:eastAsia="仿宋" w:cs="仿宋"/>
          <w:color w:val="000000"/>
          <w:kern w:val="0"/>
          <w:sz w:val="30"/>
          <w:szCs w:val="30"/>
        </w:rPr>
        <w:t>、负责全区继续教育管理工作；</w:t>
      </w:r>
    </w:p>
    <w:p w14:paraId="7699226B">
      <w:pPr>
        <w:spacing w:line="560" w:lineRule="exact"/>
        <w:ind w:firstLine="600" w:firstLineChars="200"/>
        <w:rPr>
          <w:rFonts w:ascii="仿宋" w:hAnsi="仿宋" w:eastAsia="仿宋" w:cs="仿宋"/>
          <w:color w:val="000000"/>
          <w:kern w:val="0"/>
          <w:sz w:val="30"/>
          <w:szCs w:val="30"/>
        </w:rPr>
      </w:pPr>
      <w:r>
        <w:rPr>
          <w:rFonts w:ascii="仿宋" w:hAnsi="仿宋" w:eastAsia="仿宋" w:cs="仿宋"/>
          <w:color w:val="000000"/>
          <w:kern w:val="0"/>
          <w:sz w:val="30"/>
          <w:szCs w:val="30"/>
        </w:rPr>
        <w:t>14</w:t>
      </w:r>
      <w:r>
        <w:rPr>
          <w:rFonts w:hint="eastAsia" w:ascii="仿宋" w:hAnsi="仿宋" w:eastAsia="仿宋" w:cs="仿宋"/>
          <w:color w:val="000000"/>
          <w:kern w:val="0"/>
          <w:sz w:val="30"/>
          <w:szCs w:val="30"/>
        </w:rPr>
        <w:t>、组织劳动法规的宣传贯彻落实，负责园区企事业单位劳动工资管理、劳动培训、退休审核、工伤认定、劳动监察和劳动仲裁工作；</w:t>
      </w:r>
    </w:p>
    <w:p w14:paraId="63C98D7F">
      <w:pPr>
        <w:spacing w:line="560" w:lineRule="exact"/>
        <w:ind w:firstLine="600" w:firstLineChars="200"/>
        <w:rPr>
          <w:rFonts w:ascii="仿宋" w:hAnsi="仿宋" w:eastAsia="仿宋" w:cs="仿宋"/>
          <w:color w:val="000000"/>
          <w:kern w:val="0"/>
          <w:sz w:val="30"/>
          <w:szCs w:val="30"/>
        </w:rPr>
      </w:pPr>
      <w:r>
        <w:rPr>
          <w:rFonts w:ascii="仿宋" w:hAnsi="仿宋" w:eastAsia="仿宋" w:cs="仿宋"/>
          <w:color w:val="000000"/>
          <w:kern w:val="0"/>
          <w:sz w:val="30"/>
          <w:szCs w:val="30"/>
        </w:rPr>
        <w:t>15</w:t>
      </w:r>
      <w:r>
        <w:rPr>
          <w:rFonts w:hint="eastAsia" w:ascii="仿宋" w:hAnsi="仿宋" w:eastAsia="仿宋" w:cs="仿宋"/>
          <w:color w:val="000000"/>
          <w:kern w:val="0"/>
          <w:sz w:val="30"/>
          <w:szCs w:val="30"/>
        </w:rPr>
        <w:t>、统筹管理全区人力资源的开发利用和就业指导、就业培训工作；</w:t>
      </w:r>
    </w:p>
    <w:p w14:paraId="6C1036B9">
      <w:pPr>
        <w:spacing w:line="560" w:lineRule="exact"/>
        <w:ind w:firstLine="600" w:firstLineChars="200"/>
        <w:rPr>
          <w:rFonts w:ascii="仿宋" w:hAnsi="仿宋" w:eastAsia="仿宋" w:cs="仿宋"/>
          <w:color w:val="000000"/>
          <w:kern w:val="0"/>
          <w:sz w:val="30"/>
          <w:szCs w:val="30"/>
        </w:rPr>
      </w:pPr>
      <w:r>
        <w:rPr>
          <w:rFonts w:ascii="仿宋" w:hAnsi="仿宋" w:eastAsia="仿宋" w:cs="仿宋"/>
          <w:color w:val="000000"/>
          <w:kern w:val="0"/>
          <w:sz w:val="30"/>
          <w:szCs w:val="30"/>
        </w:rPr>
        <w:t>16</w:t>
      </w:r>
      <w:r>
        <w:rPr>
          <w:rFonts w:hint="eastAsia" w:ascii="仿宋" w:hAnsi="仿宋" w:eastAsia="仿宋" w:cs="仿宋"/>
          <w:color w:val="000000"/>
          <w:kern w:val="0"/>
          <w:sz w:val="30"/>
          <w:szCs w:val="30"/>
        </w:rPr>
        <w:t>、负责全区人才政策的组织实施和监督，指导园区人才服务机构开展人力资源管理活动；</w:t>
      </w:r>
    </w:p>
    <w:p w14:paraId="34DBF0E5">
      <w:pPr>
        <w:spacing w:line="560" w:lineRule="exact"/>
        <w:ind w:firstLine="600" w:firstLineChars="200"/>
        <w:rPr>
          <w:rFonts w:ascii="仿宋" w:hAnsi="仿宋" w:eastAsia="仿宋" w:cs="仿宋"/>
          <w:color w:val="000000"/>
          <w:kern w:val="0"/>
          <w:sz w:val="30"/>
          <w:szCs w:val="30"/>
        </w:rPr>
      </w:pPr>
      <w:r>
        <w:rPr>
          <w:rFonts w:ascii="仿宋" w:hAnsi="仿宋" w:eastAsia="仿宋" w:cs="仿宋"/>
          <w:color w:val="000000"/>
          <w:kern w:val="0"/>
          <w:sz w:val="30"/>
          <w:szCs w:val="30"/>
        </w:rPr>
        <w:t>17</w:t>
      </w:r>
      <w:r>
        <w:rPr>
          <w:rFonts w:hint="eastAsia" w:ascii="仿宋" w:hAnsi="仿宋" w:eastAsia="仿宋" w:cs="仿宋"/>
          <w:color w:val="000000"/>
          <w:kern w:val="0"/>
          <w:sz w:val="30"/>
          <w:szCs w:val="30"/>
        </w:rPr>
        <w:t>、综合管理全区人力资源市场，制定建设规划、运作规则并实施监督。</w:t>
      </w:r>
    </w:p>
    <w:p w14:paraId="2C5E5001">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二、部门预算单位构成</w:t>
      </w:r>
    </w:p>
    <w:p w14:paraId="70011B9E">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201</w:t>
      </w:r>
      <w:r>
        <w:rPr>
          <w:rFonts w:hint="eastAsia" w:ascii="仿宋" w:hAnsi="仿宋" w:eastAsia="仿宋" w:cs="仿宋"/>
          <w:color w:val="000000"/>
          <w:kern w:val="0"/>
          <w:sz w:val="30"/>
          <w:szCs w:val="30"/>
        </w:rPr>
        <w:t>9年</w:t>
      </w:r>
      <w:r>
        <w:rPr>
          <w:rFonts w:hint="eastAsia" w:ascii="仿宋" w:hAnsi="仿宋" w:eastAsia="仿宋" w:cs="仿宋"/>
          <w:bCs/>
          <w:sz w:val="30"/>
          <w:szCs w:val="30"/>
        </w:rPr>
        <w:t>人力资源和社会保障局</w:t>
      </w:r>
      <w:r>
        <w:rPr>
          <w:rFonts w:hint="eastAsia" w:ascii="仿宋" w:hAnsi="仿宋" w:eastAsia="仿宋" w:cs="仿宋"/>
          <w:color w:val="000000"/>
          <w:kern w:val="0"/>
          <w:sz w:val="30"/>
          <w:szCs w:val="30"/>
        </w:rPr>
        <w:t>部门预算为本部综合收支计划，无二级单位。</w:t>
      </w:r>
    </w:p>
    <w:p w14:paraId="691FE4F2">
      <w:pPr>
        <w:widowControl/>
        <w:spacing w:line="330" w:lineRule="atLeast"/>
        <w:ind w:firstLine="600" w:firstLineChars="200"/>
        <w:jc w:val="left"/>
        <w:rPr>
          <w:rFonts w:ascii="仿宋" w:hAnsi="仿宋" w:eastAsia="仿宋" w:cs="仿宋"/>
          <w:color w:val="000000"/>
          <w:kern w:val="0"/>
          <w:sz w:val="30"/>
          <w:szCs w:val="30"/>
        </w:rPr>
      </w:pPr>
    </w:p>
    <w:p w14:paraId="5CFD89D0">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第二部分</w:t>
      </w:r>
      <w:r>
        <w:rPr>
          <w:rFonts w:ascii="仿宋" w:hAnsi="仿宋" w:eastAsia="仿宋" w:cs="仿宋"/>
          <w:color w:val="000000"/>
          <w:kern w:val="0"/>
          <w:sz w:val="30"/>
          <w:szCs w:val="30"/>
        </w:rPr>
        <w:t xml:space="preserve"> </w:t>
      </w:r>
      <w:r>
        <w:rPr>
          <w:rFonts w:hint="eastAsia" w:ascii="仿宋" w:hAnsi="仿宋" w:eastAsia="仿宋" w:cs="仿宋"/>
          <w:color w:val="000000"/>
          <w:kern w:val="0"/>
          <w:sz w:val="30"/>
          <w:szCs w:val="30"/>
        </w:rPr>
        <w:t>部门预算情况说明</w:t>
      </w:r>
    </w:p>
    <w:p w14:paraId="661FAF58">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一、总体说明</w:t>
      </w:r>
    </w:p>
    <w:p w14:paraId="4229A103">
      <w:pPr>
        <w:spacing w:line="600" w:lineRule="exact"/>
        <w:ind w:firstLine="600" w:firstLineChars="200"/>
        <w:rPr>
          <w:rFonts w:ascii="仿宋" w:hAnsi="仿宋" w:eastAsia="仿宋" w:cs="仿宋"/>
          <w:kern w:val="0"/>
          <w:sz w:val="30"/>
          <w:szCs w:val="30"/>
        </w:rPr>
      </w:pPr>
      <w:r>
        <w:rPr>
          <w:rFonts w:hint="eastAsia" w:ascii="仿宋" w:hAnsi="仿宋" w:eastAsia="仿宋" w:cs="仿宋"/>
          <w:color w:val="000000"/>
          <w:kern w:val="0"/>
          <w:sz w:val="30"/>
          <w:szCs w:val="30"/>
        </w:rPr>
        <w:t>按照综合预算的原则，本部门所有收入和支出均纳入部门预算管理，无下级预算单位。</w:t>
      </w:r>
      <w:r>
        <w:rPr>
          <w:rFonts w:hint="eastAsia" w:ascii="仿宋" w:hAnsi="仿宋" w:eastAsia="仿宋" w:cs="仿宋"/>
          <w:kern w:val="0"/>
          <w:sz w:val="30"/>
          <w:szCs w:val="30"/>
        </w:rPr>
        <w:t>收入包括：财政拨款收入2750.1万元；支出包括：商品和服务支出309.1万元，对个人和家庭的补助111万元,对企事业单位的补贴2330万元。全部为一般公共预算收支，无政府性基金预算收支。比</w:t>
      </w:r>
      <w:r>
        <w:rPr>
          <w:rFonts w:ascii="仿宋" w:hAnsi="仿宋" w:eastAsia="仿宋" w:cs="仿宋"/>
          <w:kern w:val="0"/>
          <w:sz w:val="30"/>
          <w:szCs w:val="30"/>
        </w:rPr>
        <w:t>201</w:t>
      </w:r>
      <w:r>
        <w:rPr>
          <w:rFonts w:hint="eastAsia" w:ascii="仿宋" w:hAnsi="仿宋" w:eastAsia="仿宋" w:cs="仿宋"/>
          <w:kern w:val="0"/>
          <w:sz w:val="30"/>
          <w:szCs w:val="30"/>
        </w:rPr>
        <w:t>8年预算数增加1815.3万元，其中</w:t>
      </w:r>
      <w:r>
        <w:rPr>
          <w:rFonts w:hint="eastAsia" w:ascii="仿宋" w:hAnsi="仿宋" w:eastAsia="仿宋" w:cs="仿宋"/>
          <w:sz w:val="30"/>
          <w:szCs w:val="30"/>
        </w:rPr>
        <w:t>商品和服务支出增加169.3万元，</w:t>
      </w:r>
      <w:r>
        <w:rPr>
          <w:rFonts w:hint="eastAsia" w:ascii="仿宋" w:hAnsi="仿宋" w:eastAsia="仿宋" w:cs="仿宋"/>
          <w:kern w:val="0"/>
          <w:sz w:val="30"/>
          <w:szCs w:val="30"/>
        </w:rPr>
        <w:t>对个人家庭补助支出</w:t>
      </w:r>
      <w:r>
        <w:rPr>
          <w:rFonts w:hint="eastAsia" w:ascii="仿宋" w:hAnsi="仿宋" w:eastAsia="仿宋" w:cs="仿宋"/>
          <w:sz w:val="30"/>
          <w:szCs w:val="30"/>
        </w:rPr>
        <w:t>减少684万元</w:t>
      </w:r>
      <w:r>
        <w:rPr>
          <w:rFonts w:ascii="仿宋" w:hAnsi="仿宋" w:eastAsia="仿宋" w:cs="仿宋"/>
          <w:sz w:val="30"/>
          <w:szCs w:val="30"/>
        </w:rPr>
        <w:t>,</w:t>
      </w:r>
      <w:r>
        <w:rPr>
          <w:rFonts w:hint="eastAsia" w:ascii="仿宋" w:hAnsi="仿宋" w:eastAsia="仿宋" w:cs="仿宋"/>
          <w:kern w:val="0"/>
          <w:sz w:val="30"/>
          <w:szCs w:val="30"/>
        </w:rPr>
        <w:t xml:space="preserve"> 对企事业单位的补贴增加2330万元，主要原因是自</w:t>
      </w:r>
      <w:r>
        <w:rPr>
          <w:rFonts w:ascii="仿宋" w:hAnsi="仿宋" w:eastAsia="仿宋" w:cs="仿宋"/>
          <w:kern w:val="0"/>
          <w:sz w:val="30"/>
          <w:szCs w:val="30"/>
        </w:rPr>
        <w:t>201</w:t>
      </w:r>
      <w:r>
        <w:rPr>
          <w:rFonts w:hint="eastAsia" w:ascii="仿宋" w:hAnsi="仿宋" w:eastAsia="仿宋" w:cs="仿宋"/>
          <w:kern w:val="0"/>
          <w:sz w:val="30"/>
          <w:szCs w:val="30"/>
        </w:rPr>
        <w:t>9年起</w:t>
      </w:r>
      <w:r>
        <w:rPr>
          <w:rFonts w:ascii="仿宋" w:hAnsi="仿宋" w:eastAsia="仿宋" w:cs="仿宋"/>
          <w:kern w:val="0"/>
          <w:sz w:val="30"/>
          <w:szCs w:val="30"/>
        </w:rPr>
        <w:t>,</w:t>
      </w:r>
      <w:r>
        <w:rPr>
          <w:rFonts w:hint="eastAsia" w:ascii="仿宋" w:hAnsi="仿宋" w:eastAsia="仿宋" w:cs="仿宋"/>
          <w:kern w:val="0"/>
          <w:sz w:val="30"/>
          <w:szCs w:val="30"/>
        </w:rPr>
        <w:t>将科学技术支出列入部门预算。</w:t>
      </w:r>
    </w:p>
    <w:p w14:paraId="097D01F5">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二、“三公”经费预算情况说明</w:t>
      </w:r>
    </w:p>
    <w:p w14:paraId="5E9DE32D">
      <w:pPr>
        <w:spacing w:line="600" w:lineRule="exact"/>
        <w:ind w:firstLine="600" w:firstLineChars="200"/>
        <w:rPr>
          <w:rFonts w:ascii="仿宋" w:hAnsi="仿宋" w:eastAsia="仿宋"/>
          <w:sz w:val="30"/>
          <w:szCs w:val="30"/>
        </w:rPr>
      </w:pPr>
      <w:r>
        <w:rPr>
          <w:rFonts w:hint="eastAsia" w:ascii="仿宋" w:hAnsi="仿宋" w:eastAsia="仿宋" w:cs="仿宋"/>
          <w:sz w:val="30"/>
          <w:szCs w:val="30"/>
        </w:rPr>
        <w:t>无“三公”经费预算</w:t>
      </w:r>
      <w:r>
        <w:rPr>
          <w:rFonts w:hint="eastAsia" w:ascii="仿宋" w:hAnsi="仿宋" w:eastAsia="仿宋" w:cs="仿宋"/>
          <w:color w:val="000000"/>
          <w:kern w:val="0"/>
          <w:sz w:val="30"/>
          <w:szCs w:val="30"/>
        </w:rPr>
        <w:t>事项</w:t>
      </w:r>
      <w:r>
        <w:rPr>
          <w:rFonts w:ascii="仿宋" w:hAnsi="仿宋" w:eastAsia="仿宋" w:cs="仿宋"/>
          <w:color w:val="000000"/>
          <w:kern w:val="0"/>
          <w:sz w:val="30"/>
          <w:szCs w:val="30"/>
        </w:rPr>
        <w:t>,</w:t>
      </w:r>
      <w:r>
        <w:rPr>
          <w:rFonts w:hint="eastAsia" w:ascii="仿宋" w:hAnsi="仿宋" w:eastAsia="仿宋" w:cs="仿宋"/>
          <w:color w:val="000000"/>
          <w:kern w:val="0"/>
          <w:sz w:val="30"/>
          <w:szCs w:val="30"/>
        </w:rPr>
        <w:t>与去年相同</w:t>
      </w:r>
      <w:r>
        <w:rPr>
          <w:rFonts w:hint="eastAsia" w:ascii="仿宋" w:hAnsi="仿宋" w:eastAsia="仿宋" w:cs="仿宋"/>
          <w:sz w:val="30"/>
          <w:szCs w:val="30"/>
        </w:rPr>
        <w:t>。</w:t>
      </w:r>
      <w:r>
        <w:rPr>
          <w:rFonts w:hint="eastAsia" w:ascii="仿宋" w:hAnsi="仿宋" w:eastAsia="仿宋" w:cs="仿宋"/>
          <w:color w:val="000000"/>
          <w:kern w:val="0"/>
          <w:sz w:val="30"/>
          <w:szCs w:val="30"/>
        </w:rPr>
        <w:t>主要是按照中央及市委、市政府关于厉行节约、改进工作作风、密切联系群众中央八项规定等有关要求，严格控制“三公”经费支出。</w:t>
      </w:r>
      <w:bookmarkStart w:id="0" w:name="_GoBack"/>
      <w:bookmarkEnd w:id="0"/>
    </w:p>
    <w:p w14:paraId="7EB436BC">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三、机关运行经费安排情况说明</w:t>
      </w:r>
    </w:p>
    <w:p w14:paraId="17E831CA">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机关运行经费包括定额公用经费21.3万元。</w:t>
      </w:r>
    </w:p>
    <w:p w14:paraId="5D98457A">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四、政府采购情况说明</w:t>
      </w:r>
    </w:p>
    <w:p w14:paraId="1F99A1DC">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无政府采购事项。</w:t>
      </w:r>
    </w:p>
    <w:p w14:paraId="6F0A8253">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五、政府性基金收支预算情况</w:t>
      </w:r>
    </w:p>
    <w:p w14:paraId="2DB123E1">
      <w:pPr>
        <w:widowControl/>
        <w:spacing w:line="330" w:lineRule="atLeast"/>
        <w:ind w:firstLine="600" w:firstLineChars="200"/>
        <w:jc w:val="left"/>
        <w:rPr>
          <w:rFonts w:hint="eastAsia" w:ascii="仿宋" w:hAnsi="仿宋" w:eastAsia="仿宋" w:cs="仿宋"/>
          <w:color w:val="000000"/>
          <w:kern w:val="0"/>
          <w:sz w:val="30"/>
          <w:szCs w:val="30"/>
        </w:rPr>
      </w:pPr>
      <w:r>
        <w:rPr>
          <w:rFonts w:hint="eastAsia" w:ascii="仿宋" w:hAnsi="仿宋" w:eastAsia="仿宋" w:cs="仿宋"/>
          <w:color w:val="000000"/>
          <w:kern w:val="0"/>
          <w:sz w:val="30"/>
          <w:szCs w:val="30"/>
        </w:rPr>
        <w:t>无政府性基金预算收支。</w:t>
      </w:r>
    </w:p>
    <w:p w14:paraId="32B60331">
      <w:pPr>
        <w:spacing w:line="330" w:lineRule="atLeast"/>
        <w:ind w:firstLine="600" w:firstLineChars="200"/>
        <w:rPr>
          <w:rFonts w:ascii="仿宋" w:hAnsi="仿宋" w:eastAsia="仿宋"/>
          <w:sz w:val="30"/>
          <w:szCs w:val="30"/>
        </w:rPr>
      </w:pPr>
      <w:r>
        <w:rPr>
          <w:rFonts w:hint="eastAsia" w:ascii="仿宋" w:hAnsi="仿宋" w:eastAsia="仿宋"/>
          <w:sz w:val="30"/>
          <w:szCs w:val="30"/>
        </w:rPr>
        <w:t>六、国有资产占有使用情况说明</w:t>
      </w:r>
    </w:p>
    <w:p w14:paraId="6B7FEEC7">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国有资产占有使用情况说明为：截至2018年12月31日，部门（单位）共有车辆1辆；单位价值50万元（含）以上通用设备0台（套）；单位价值100万元以上专用设备0台（套）。</w:t>
      </w:r>
    </w:p>
    <w:p w14:paraId="5509D4AA">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七、预算绩效管理情况</w:t>
      </w:r>
    </w:p>
    <w:p w14:paraId="23541C91">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本部门预算绩效工作暂未开展,年度内按照上级工作部署适时推进。</w:t>
      </w:r>
    </w:p>
    <w:p w14:paraId="1CDCB033">
      <w:pPr>
        <w:widowControl/>
        <w:spacing w:line="330" w:lineRule="atLeast"/>
        <w:ind w:firstLine="600" w:firstLineChars="200"/>
        <w:jc w:val="left"/>
        <w:rPr>
          <w:rFonts w:ascii="仿宋" w:hAnsi="仿宋" w:eastAsia="仿宋" w:cs="仿宋"/>
          <w:color w:val="000000"/>
          <w:kern w:val="0"/>
          <w:sz w:val="30"/>
          <w:szCs w:val="30"/>
        </w:rPr>
      </w:pPr>
    </w:p>
    <w:p w14:paraId="7102344A">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第三部分</w:t>
      </w:r>
      <w:r>
        <w:rPr>
          <w:rFonts w:ascii="仿宋" w:hAnsi="仿宋" w:eastAsia="仿宋" w:cs="仿宋"/>
          <w:color w:val="000000"/>
          <w:kern w:val="0"/>
          <w:sz w:val="30"/>
          <w:szCs w:val="30"/>
        </w:rPr>
        <w:t xml:space="preserve"> </w:t>
      </w:r>
      <w:r>
        <w:rPr>
          <w:rFonts w:hint="eastAsia" w:ascii="仿宋" w:hAnsi="仿宋" w:eastAsia="仿宋" w:cs="仿宋"/>
          <w:color w:val="000000"/>
          <w:kern w:val="0"/>
          <w:sz w:val="30"/>
          <w:szCs w:val="30"/>
        </w:rPr>
        <w:t>名词解释</w:t>
      </w:r>
    </w:p>
    <w:p w14:paraId="69031BFB">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w:t>
      </w:r>
      <w:r>
        <w:rPr>
          <w:rFonts w:hint="eastAsia" w:ascii="仿宋" w:hAnsi="仿宋" w:eastAsia="仿宋" w:cs="仿宋"/>
          <w:color w:val="000000"/>
          <w:kern w:val="0"/>
          <w:sz w:val="30"/>
          <w:szCs w:val="30"/>
        </w:rPr>
        <w:t>财政拨款收入：指市财政当年拨付的资金。</w:t>
      </w:r>
      <w:r>
        <w:rPr>
          <w:rFonts w:ascii="仿宋" w:hAnsi="仿宋" w:eastAsia="仿宋" w:cs="仿宋"/>
          <w:color w:val="000000"/>
          <w:kern w:val="0"/>
          <w:sz w:val="30"/>
          <w:szCs w:val="30"/>
        </w:rPr>
        <w:t xml:space="preserve"> </w:t>
      </w:r>
    </w:p>
    <w:p w14:paraId="6DA1E008">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2.</w:t>
      </w:r>
      <w:r>
        <w:rPr>
          <w:rFonts w:hint="eastAsia" w:ascii="仿宋" w:hAnsi="仿宋" w:eastAsia="仿宋" w:cs="仿宋"/>
          <w:color w:val="000000"/>
          <w:kern w:val="0"/>
          <w:sz w:val="30"/>
          <w:szCs w:val="30"/>
        </w:rPr>
        <w:t>其他收入：指除“财政拨款收入”、“财政专户拨款收入”等以外的收入，包括事业单位经营性收入、上级补助收入、附属单位上缴收入等。</w:t>
      </w:r>
    </w:p>
    <w:p w14:paraId="68FFDEC2">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3.</w:t>
      </w:r>
      <w:r>
        <w:rPr>
          <w:rFonts w:hint="eastAsia" w:ascii="仿宋" w:hAnsi="仿宋" w:eastAsia="仿宋" w:cs="仿宋"/>
          <w:color w:val="000000"/>
          <w:kern w:val="0"/>
          <w:sz w:val="30"/>
          <w:szCs w:val="30"/>
        </w:rPr>
        <w:t>基本支出：指为保障机构正常运转、完成日常工作任务而发生的人员支出和公用支出。</w:t>
      </w:r>
    </w:p>
    <w:p w14:paraId="1B59EB97">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4.</w:t>
      </w:r>
      <w:r>
        <w:rPr>
          <w:rFonts w:hint="eastAsia" w:ascii="仿宋" w:hAnsi="仿宋" w:eastAsia="仿宋" w:cs="仿宋"/>
          <w:color w:val="000000"/>
          <w:kern w:val="0"/>
          <w:sz w:val="30"/>
          <w:szCs w:val="30"/>
        </w:rPr>
        <w:t>项目支出：指在基本支出之外为完成特定行政任务和事业发展目标所发生的支出。</w:t>
      </w:r>
    </w:p>
    <w:p w14:paraId="39BB129D">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5.</w:t>
      </w:r>
      <w:r>
        <w:rPr>
          <w:rFonts w:hint="eastAsia" w:ascii="仿宋" w:hAnsi="仿宋" w:eastAsia="仿宋" w:cs="仿宋"/>
          <w:color w:val="000000"/>
          <w:kern w:val="0"/>
          <w:sz w:val="30"/>
          <w:szCs w:val="30"/>
        </w:rPr>
        <w:t>“三公”经费：指用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14:paraId="3EB20F37">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6.</w:t>
      </w:r>
      <w:r>
        <w:rPr>
          <w:rFonts w:hint="eastAsia" w:ascii="仿宋" w:hAnsi="仿宋" w:eastAsia="仿宋" w:cs="仿宋"/>
          <w:color w:val="000000"/>
          <w:kern w:val="0"/>
          <w:sz w:val="30"/>
          <w:szCs w:val="30"/>
        </w:rPr>
        <w:t>一般公共服务（类）财政事务（款）行政运行（项）：反映行政单位（包括实行公务员管理的事业单位）的基本支出。</w:t>
      </w:r>
    </w:p>
    <w:p w14:paraId="249117C0">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7.</w:t>
      </w:r>
      <w:r>
        <w:rPr>
          <w:rFonts w:hint="eastAsia" w:ascii="仿宋" w:hAnsi="仿宋" w:eastAsia="仿宋" w:cs="仿宋"/>
          <w:color w:val="000000"/>
          <w:kern w:val="0"/>
          <w:sz w:val="30"/>
          <w:szCs w:val="30"/>
        </w:rPr>
        <w:t>一般公共服务（类）财政事务（款）一般行政管理事务（项）：反映行政单位（包括实行公务员管理的事业单位）未单独设置项级科目的其他项目支出。</w:t>
      </w:r>
    </w:p>
    <w:p w14:paraId="320EAAF7">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8</w:t>
      </w:r>
      <w:r>
        <w:rPr>
          <w:rFonts w:hint="eastAsia" w:ascii="仿宋" w:hAnsi="仿宋" w:eastAsia="仿宋" w:cs="仿宋"/>
          <w:color w:val="000000"/>
          <w:kern w:val="0"/>
          <w:sz w:val="30"/>
          <w:szCs w:val="30"/>
        </w:rPr>
        <w:t>一般公共服务（类）财政事务（款）信息化建设（项）：反映财政部门用于“金财工程”等信息化建设方面的支出。</w:t>
      </w:r>
    </w:p>
    <w:p w14:paraId="65EF4977">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9.</w:t>
      </w:r>
      <w:r>
        <w:rPr>
          <w:rFonts w:hint="eastAsia" w:ascii="仿宋" w:hAnsi="仿宋" w:eastAsia="仿宋" w:cs="仿宋"/>
          <w:color w:val="000000"/>
          <w:kern w:val="0"/>
          <w:sz w:val="30"/>
          <w:szCs w:val="30"/>
        </w:rPr>
        <w:t>一般公共服务（类）财政事务（款）财政委托业务支出（项）：反映财政委托评审机构进行财政投资评审和委托建设银行等机构代理业务发生的支出。</w:t>
      </w:r>
    </w:p>
    <w:p w14:paraId="654CE404">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10. </w:t>
      </w:r>
      <w:r>
        <w:rPr>
          <w:rFonts w:hint="eastAsia" w:ascii="仿宋" w:hAnsi="仿宋" w:eastAsia="仿宋" w:cs="仿宋"/>
          <w:color w:val="000000"/>
          <w:kern w:val="0"/>
          <w:sz w:val="30"/>
          <w:szCs w:val="30"/>
        </w:rPr>
        <w:t>一般公共服务（类）财政事务（款）事业运行（项）：反映事业单位的基本支出，不包括行政单位（包括实行公务员管理的事业单位）后勤服务中心、医务室等附属事业单位。</w:t>
      </w:r>
    </w:p>
    <w:p w14:paraId="477A8875">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11. </w:t>
      </w:r>
      <w:r>
        <w:rPr>
          <w:rFonts w:hint="eastAsia" w:ascii="仿宋" w:hAnsi="仿宋" w:eastAsia="仿宋" w:cs="仿宋"/>
          <w:color w:val="000000"/>
          <w:kern w:val="0"/>
          <w:sz w:val="30"/>
          <w:szCs w:val="30"/>
        </w:rPr>
        <w:t>一般公共服务（类）财政事务（款）其他财政事务支出（项）：反映其他财政事务方面的支出。</w:t>
      </w:r>
    </w:p>
    <w:p w14:paraId="692C5990">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12</w:t>
      </w:r>
      <w:r>
        <w:rPr>
          <w:rFonts w:hint="eastAsia" w:ascii="仿宋" w:hAnsi="仿宋" w:eastAsia="仿宋" w:cs="仿宋"/>
          <w:color w:val="000000"/>
          <w:kern w:val="0"/>
          <w:sz w:val="30"/>
          <w:szCs w:val="30"/>
        </w:rPr>
        <w:t>．教育支出（类）其他教育支出（款）其他教育支出（项）：反映其他用于教育方面的支出。</w:t>
      </w:r>
    </w:p>
    <w:p w14:paraId="19B43062">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13. </w:t>
      </w:r>
      <w:r>
        <w:rPr>
          <w:rFonts w:hint="eastAsia" w:ascii="仿宋" w:hAnsi="仿宋" w:eastAsia="仿宋" w:cs="仿宋"/>
          <w:color w:val="000000"/>
          <w:kern w:val="0"/>
          <w:sz w:val="30"/>
          <w:szCs w:val="30"/>
        </w:rPr>
        <w:t>社会保障和就业（类）行政事业单位离退休（款）归口管理的行政单位离退休（项）：反映实行归口管理的行政单位（包括实行公务员管理的事业单位）开支的离退休经费。</w:t>
      </w:r>
    </w:p>
    <w:p w14:paraId="70330805">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14. </w:t>
      </w:r>
      <w:r>
        <w:rPr>
          <w:rFonts w:hint="eastAsia" w:ascii="仿宋" w:hAnsi="仿宋" w:eastAsia="仿宋" w:cs="仿宋"/>
          <w:color w:val="000000"/>
          <w:kern w:val="0"/>
          <w:sz w:val="30"/>
          <w:szCs w:val="30"/>
        </w:rPr>
        <w:t>社会保障和就业（类）行政事业单位离退休（款）机关事业单位基本养老保险缴费支出（项）：反映机关事业单位实施养老保险制度由单位缴纳的基本养老保险费支出。</w:t>
      </w:r>
    </w:p>
    <w:p w14:paraId="465D791C">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15.</w:t>
      </w:r>
      <w:r>
        <w:rPr>
          <w:rFonts w:hint="eastAsia" w:ascii="仿宋" w:hAnsi="仿宋" w:eastAsia="仿宋" w:cs="仿宋"/>
          <w:color w:val="000000"/>
          <w:kern w:val="0"/>
          <w:sz w:val="30"/>
          <w:szCs w:val="30"/>
        </w:rPr>
        <w:t>医疗卫生与计划生育（类）医疗保障（款）行政单位医疗（项）：反映财政部门集中安排的行政单位基本医疗保险缴费经费，未参加医疗保险的行政单位的公费医疗经费，按国家规定享受离休人员、红军老战士待遇人员的医疗经费。</w:t>
      </w:r>
    </w:p>
    <w:p w14:paraId="7DC8CAF9">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16.</w:t>
      </w:r>
      <w:r>
        <w:rPr>
          <w:rFonts w:hint="eastAsia" w:ascii="仿宋" w:hAnsi="仿宋" w:eastAsia="仿宋" w:cs="仿宋"/>
          <w:color w:val="000000"/>
          <w:kern w:val="0"/>
          <w:sz w:val="30"/>
          <w:szCs w:val="30"/>
        </w:rPr>
        <w:t>医疗卫生与计划生育（类）医疗保障（款）事业单位医疗（项）：反映财政部门集中安排的事业单位基本医疗保险缴费经费，未参加医疗保险的事业单位的公费医疗经费，按国家规定享受离休人员待遇人员的医疗经费。</w:t>
      </w:r>
    </w:p>
    <w:p w14:paraId="1E3340DA">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17.</w:t>
      </w:r>
      <w:r>
        <w:rPr>
          <w:rFonts w:hint="eastAsia" w:ascii="仿宋" w:hAnsi="仿宋" w:eastAsia="仿宋" w:cs="仿宋"/>
          <w:color w:val="000000"/>
          <w:kern w:val="0"/>
          <w:sz w:val="30"/>
          <w:szCs w:val="30"/>
        </w:rPr>
        <w:t>住房保障（类）住房改革（款）住房公积金（项）：反映行政事业单位按人力资源和社会保障部、财政部规定的基本工资和津贴补贴以及规定比例为职工缴纳的住房公积金。</w:t>
      </w:r>
    </w:p>
    <w:p w14:paraId="3A3C9740">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18.</w:t>
      </w:r>
      <w:r>
        <w:rPr>
          <w:rFonts w:hint="eastAsia" w:ascii="仿宋" w:hAnsi="仿宋" w:eastAsia="仿宋" w:cs="仿宋"/>
          <w:color w:val="000000"/>
          <w:kern w:val="0"/>
          <w:sz w:val="30"/>
          <w:szCs w:val="30"/>
        </w:rPr>
        <w:t>机关运行经费。是指各部门的公用经费，包括办公及印刷费、邮电费、会议费、福利费、日常维修费、专用材料及一般设备购置费、办公用房水电费、办公用房取暖费、办公用房物业管理费、公务用车运行维护费以及其他费用。</w:t>
      </w:r>
    </w:p>
    <w:p w14:paraId="49D42E75">
      <w:pPr>
        <w:widowControl/>
        <w:spacing w:line="330" w:lineRule="atLeast"/>
        <w:ind w:firstLine="600" w:firstLineChars="200"/>
        <w:jc w:val="left"/>
        <w:rPr>
          <w:rFonts w:ascii="仿宋" w:hAnsi="仿宋" w:eastAsia="仿宋"/>
          <w:color w:val="000000"/>
          <w:sz w:val="30"/>
          <w:szCs w:val="30"/>
        </w:rPr>
      </w:pPr>
    </w:p>
    <w:p w14:paraId="74FAC07F">
      <w:pPr>
        <w:spacing w:line="600" w:lineRule="exact"/>
        <w:rPr>
          <w:rFonts w:ascii="仿宋" w:hAnsi="仿宋" w:eastAsia="仿宋"/>
          <w:sz w:val="30"/>
          <w:szCs w:val="30"/>
        </w:rPr>
      </w:pPr>
      <w:r>
        <w:rPr>
          <w:rFonts w:ascii="仿宋" w:hAnsi="仿宋" w:eastAsia="仿宋" w:cs="仿宋"/>
          <w:sz w:val="30"/>
          <w:szCs w:val="30"/>
        </w:rPr>
        <w:t xml:space="preserve">                                 201</w:t>
      </w:r>
      <w:r>
        <w:rPr>
          <w:rFonts w:hint="eastAsia" w:ascii="仿宋" w:hAnsi="仿宋" w:eastAsia="仿宋" w:cs="仿宋"/>
          <w:sz w:val="30"/>
          <w:szCs w:val="30"/>
        </w:rPr>
        <w:t>9年</w:t>
      </w:r>
      <w:r>
        <w:rPr>
          <w:rFonts w:ascii="仿宋" w:hAnsi="仿宋" w:eastAsia="仿宋" w:cs="仿宋"/>
          <w:sz w:val="30"/>
          <w:szCs w:val="30"/>
        </w:rPr>
        <w:t>2</w:t>
      </w:r>
      <w:r>
        <w:rPr>
          <w:rFonts w:hint="eastAsia" w:ascii="仿宋" w:hAnsi="仿宋" w:eastAsia="仿宋" w:cs="仿宋"/>
          <w:sz w:val="30"/>
          <w:szCs w:val="30"/>
        </w:rPr>
        <w:t>月</w:t>
      </w:r>
      <w:r>
        <w:rPr>
          <w:rFonts w:ascii="仿宋" w:hAnsi="仿宋" w:eastAsia="仿宋" w:cs="仿宋"/>
          <w:sz w:val="30"/>
          <w:szCs w:val="30"/>
        </w:rPr>
        <w:t>1</w:t>
      </w:r>
      <w:r>
        <w:rPr>
          <w:rFonts w:hint="eastAsia" w:ascii="仿宋" w:hAnsi="仿宋" w:eastAsia="仿宋" w:cs="仿宋"/>
          <w:sz w:val="30"/>
          <w:szCs w:val="30"/>
        </w:rPr>
        <w:t>日</w:t>
      </w:r>
    </w:p>
    <w:p w14:paraId="38876B3D">
      <w:pPr>
        <w:rPr>
          <w:rFonts w:ascii="仿宋" w:hAnsi="仿宋" w:eastAsia="仿宋"/>
          <w:sz w:val="30"/>
          <w:szCs w:val="30"/>
        </w:rPr>
      </w:pPr>
    </w:p>
    <w:sectPr>
      <w:pgSz w:w="11906" w:h="16838"/>
      <w:pgMar w:top="1531" w:right="1797" w:bottom="1134" w:left="179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 w:name="Arial Unicode MS">
    <w:altName w:val="Arial"/>
    <w:panose1 w:val="00000000000000000000"/>
    <w:charset w:val="00"/>
    <w:family w:val="auto"/>
    <w:pitch w:val="default"/>
    <w:sig w:usb0="00000000" w:usb1="00000000" w:usb2="00000000" w:usb3="00000000" w:csb0="00000000" w:csb1="00000000"/>
  </w:font>
  <w:font w:name="仿宋">
    <w:panose1 w:val="02010609060101010101"/>
    <w:charset w:val="86"/>
    <w:family w:val="modern"/>
    <w:pitch w:val="default"/>
    <w:sig w:usb0="800002BF" w:usb1="38CF7CFA" w:usb2="00000016" w:usb3="00000000" w:csb0="00040001" w:csb1="00000000"/>
  </w:font>
  <w:font w:name="Verdana">
    <w:panose1 w:val="020B0604030504040204"/>
    <w:charset w:val="00"/>
    <w:family w:val="swiss"/>
    <w:pitch w:val="default"/>
    <w:sig w:usb0="A00006FF" w:usb1="4000205B" w:usb2="0000001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NotTrackMoves/>
  <w:documentProtection w:enforcement="0"/>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01060"/>
    <w:rsid w:val="00005D1C"/>
    <w:rsid w:val="00085A8B"/>
    <w:rsid w:val="00086201"/>
    <w:rsid w:val="00087FB8"/>
    <w:rsid w:val="000A22DA"/>
    <w:rsid w:val="000F105F"/>
    <w:rsid w:val="001042B7"/>
    <w:rsid w:val="0010550E"/>
    <w:rsid w:val="00164A2E"/>
    <w:rsid w:val="00187190"/>
    <w:rsid w:val="001961A4"/>
    <w:rsid w:val="001A6B2D"/>
    <w:rsid w:val="001E3E93"/>
    <w:rsid w:val="00264775"/>
    <w:rsid w:val="0032449C"/>
    <w:rsid w:val="00355850"/>
    <w:rsid w:val="00386062"/>
    <w:rsid w:val="00395F24"/>
    <w:rsid w:val="003B39AC"/>
    <w:rsid w:val="003B50ED"/>
    <w:rsid w:val="003F4DFF"/>
    <w:rsid w:val="004221E9"/>
    <w:rsid w:val="00422B10"/>
    <w:rsid w:val="00466AAB"/>
    <w:rsid w:val="00473B78"/>
    <w:rsid w:val="004C3052"/>
    <w:rsid w:val="00502417"/>
    <w:rsid w:val="005239D8"/>
    <w:rsid w:val="005434F4"/>
    <w:rsid w:val="00597317"/>
    <w:rsid w:val="005A04CC"/>
    <w:rsid w:val="005A2BB2"/>
    <w:rsid w:val="005E2137"/>
    <w:rsid w:val="005F4DCC"/>
    <w:rsid w:val="005F7AE7"/>
    <w:rsid w:val="00604898"/>
    <w:rsid w:val="00624B47"/>
    <w:rsid w:val="00651624"/>
    <w:rsid w:val="0065661F"/>
    <w:rsid w:val="006A7CCB"/>
    <w:rsid w:val="006B7273"/>
    <w:rsid w:val="006F11A2"/>
    <w:rsid w:val="006F3530"/>
    <w:rsid w:val="00705793"/>
    <w:rsid w:val="00707273"/>
    <w:rsid w:val="007454C8"/>
    <w:rsid w:val="00755C7B"/>
    <w:rsid w:val="00763987"/>
    <w:rsid w:val="007805EB"/>
    <w:rsid w:val="00786954"/>
    <w:rsid w:val="00794CAA"/>
    <w:rsid w:val="00807388"/>
    <w:rsid w:val="008620BC"/>
    <w:rsid w:val="008710ED"/>
    <w:rsid w:val="008A0447"/>
    <w:rsid w:val="008B01B8"/>
    <w:rsid w:val="008D0AD6"/>
    <w:rsid w:val="008F28DA"/>
    <w:rsid w:val="00907B68"/>
    <w:rsid w:val="00941B10"/>
    <w:rsid w:val="00961681"/>
    <w:rsid w:val="00980189"/>
    <w:rsid w:val="009F1015"/>
    <w:rsid w:val="00A12672"/>
    <w:rsid w:val="00A150E4"/>
    <w:rsid w:val="00A26A44"/>
    <w:rsid w:val="00A4438B"/>
    <w:rsid w:val="00A5549A"/>
    <w:rsid w:val="00A97DD9"/>
    <w:rsid w:val="00AE5B13"/>
    <w:rsid w:val="00B17FBE"/>
    <w:rsid w:val="00B23C7B"/>
    <w:rsid w:val="00B2454E"/>
    <w:rsid w:val="00B24F47"/>
    <w:rsid w:val="00BB5FCF"/>
    <w:rsid w:val="00BD48C8"/>
    <w:rsid w:val="00BE1B4E"/>
    <w:rsid w:val="00BF46FB"/>
    <w:rsid w:val="00C14232"/>
    <w:rsid w:val="00C161D2"/>
    <w:rsid w:val="00C67479"/>
    <w:rsid w:val="00CA0389"/>
    <w:rsid w:val="00D10236"/>
    <w:rsid w:val="00D176CA"/>
    <w:rsid w:val="00D400F0"/>
    <w:rsid w:val="00DC1136"/>
    <w:rsid w:val="00DD605A"/>
    <w:rsid w:val="00E4427A"/>
    <w:rsid w:val="00E756F8"/>
    <w:rsid w:val="00EB6E55"/>
    <w:rsid w:val="00EE134B"/>
    <w:rsid w:val="00F01060"/>
    <w:rsid w:val="00F244AE"/>
    <w:rsid w:val="00F315DB"/>
    <w:rsid w:val="00F713C4"/>
    <w:rsid w:val="00FC72AF"/>
    <w:rsid w:val="00FD7251"/>
    <w:rsid w:val="677831BF"/>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unhideWhenUsed="0" w:uiPriority="99" w:name="header"/>
    <w:lsdException w:unhideWhenUsed="0" w:uiPriority="99"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semiHidden/>
    <w:uiPriority w:val="99"/>
    <w:pPr>
      <w:tabs>
        <w:tab w:val="center" w:pos="4153"/>
        <w:tab w:val="right" w:pos="8306"/>
      </w:tabs>
      <w:snapToGrid w:val="0"/>
      <w:jc w:val="left"/>
    </w:pPr>
    <w:rPr>
      <w:sz w:val="18"/>
      <w:szCs w:val="18"/>
    </w:rPr>
  </w:style>
  <w:style w:type="paragraph" w:styleId="3">
    <w:name w:val="header"/>
    <w:basedOn w:val="1"/>
    <w:link w:val="6"/>
    <w:semiHidden/>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semiHidden/>
    <w:locked/>
    <w:uiPriority w:val="99"/>
    <w:rPr>
      <w:rFonts w:ascii="Times New Roman" w:hAnsi="Times New Roman" w:eastAsia="宋体" w:cs="Times New Roman"/>
      <w:sz w:val="18"/>
      <w:szCs w:val="18"/>
    </w:rPr>
  </w:style>
  <w:style w:type="character" w:customStyle="1" w:styleId="7">
    <w:name w:val="页脚 Char"/>
    <w:basedOn w:val="5"/>
    <w:link w:val="2"/>
    <w:semiHidden/>
    <w:locked/>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6</Pages>
  <Words>2595</Words>
  <Characters>2682</Characters>
  <Lines>21</Lines>
  <Paragraphs>5</Paragraphs>
  <TotalTime>162</TotalTime>
  <ScaleCrop>false</ScaleCrop>
  <LinksUpToDate>false</LinksUpToDate>
  <CharactersWithSpaces>2940</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2016-12-21T02:56:00Z</dcterms:created>
  <dc:creator>Custmor</dc:creator>
  <cp:lastModifiedBy>凉拌明玉子</cp:lastModifiedBy>
  <cp:lastPrinted>2016-02-06T07:02:00Z</cp:lastPrinted>
  <dcterms:modified xsi:type="dcterms:W3CDTF">2025-12-18T06:30:08Z</dcterms:modified>
  <cp:revision>39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eyJoZGlkIjoiNzMzNGFhYTQwZDVjNjVmMDFlMTAxYjIwOTljNDhhZWQiLCJ1c2VySWQiOiIyMDEzOTMzNTkifQ==</vt:lpwstr>
  </property>
  <property fmtid="{D5CDD505-2E9C-101B-9397-08002B2CF9AE}" pid="3" name="KSOProductBuildVer">
    <vt:lpwstr>2052-12.1.0.24034</vt:lpwstr>
  </property>
  <property fmtid="{D5CDD505-2E9C-101B-9397-08002B2CF9AE}" pid="4" name="ICV">
    <vt:lpwstr>F344ABEDC74A42AB98BD2033D508F7AE_12</vt:lpwstr>
  </property>
</Properties>
</file>