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1591E2">
      <w:pPr>
        <w:spacing w:line="600" w:lineRule="exact"/>
        <w:rPr>
          <w:rFonts w:ascii="仿宋_GB2312" w:eastAsia="仿宋_GB2312"/>
          <w:sz w:val="32"/>
          <w:szCs w:val="32"/>
        </w:rPr>
      </w:pPr>
    </w:p>
    <w:p w14:paraId="7C265AD9">
      <w:pPr>
        <w:widowControl/>
        <w:spacing w:line="330" w:lineRule="atLeast"/>
        <w:jc w:val="center"/>
        <w:rPr>
          <w:rFonts w:ascii="仿宋" w:hAnsi="仿宋" w:eastAsia="仿宋"/>
          <w:b/>
          <w:bCs/>
          <w:sz w:val="30"/>
          <w:szCs w:val="30"/>
        </w:rPr>
      </w:pPr>
      <w:r>
        <w:rPr>
          <w:rFonts w:hint="eastAsia" w:ascii="仿宋" w:hAnsi="仿宋" w:eastAsia="仿宋" w:cs="仿宋"/>
          <w:b/>
          <w:bCs/>
          <w:sz w:val="30"/>
          <w:szCs w:val="30"/>
        </w:rPr>
        <w:t>市国土资源和房屋局高新园区分局</w:t>
      </w:r>
      <w:r>
        <w:rPr>
          <w:rFonts w:ascii="仿宋" w:hAnsi="仿宋" w:eastAsia="仿宋" w:cs="仿宋"/>
          <w:b/>
          <w:bCs/>
          <w:color w:val="000000"/>
          <w:kern w:val="0"/>
          <w:sz w:val="30"/>
          <w:szCs w:val="30"/>
        </w:rPr>
        <w:t>201</w:t>
      </w:r>
      <w:r>
        <w:rPr>
          <w:rFonts w:hint="eastAsia" w:ascii="仿宋" w:hAnsi="仿宋" w:eastAsia="仿宋" w:cs="仿宋"/>
          <w:b/>
          <w:bCs/>
          <w:color w:val="000000"/>
          <w:kern w:val="0"/>
          <w:sz w:val="30"/>
          <w:szCs w:val="30"/>
        </w:rPr>
        <w:t>9年部门预算</w:t>
      </w:r>
    </w:p>
    <w:p w14:paraId="2BC8C1BD">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23A3183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5408AEA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54BE2EFD">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贯彻执行国家和省、市关于土地、矿产资源、地质环境、房屋、房产市场及住房制度改革的方针、政策和法律、法规、规章；结合园区实际，组织编制高新园区土地利用总体规划及矿产资源保护与利用、地质环境保护规划管理、城镇房屋、房产市场等发展规划；</w:t>
      </w:r>
      <w:r>
        <w:rPr>
          <w:rFonts w:ascii="仿宋" w:hAnsi="仿宋" w:eastAsia="仿宋"/>
          <w:sz w:val="30"/>
          <w:szCs w:val="30"/>
        </w:rPr>
        <w:t xml:space="preserve"> </w:t>
      </w:r>
    </w:p>
    <w:p w14:paraId="0825BC51">
      <w:pPr>
        <w:spacing w:line="330" w:lineRule="atLeas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、组织建设项目用地预审；实施国有建设用地审批；负责全区土地有形市场建设和管理；指导土地储备交易工作；</w:t>
      </w:r>
      <w:r>
        <w:rPr>
          <w:rFonts w:ascii="仿宋" w:hAnsi="仿宋" w:eastAsia="仿宋"/>
          <w:sz w:val="30"/>
          <w:szCs w:val="30"/>
        </w:rPr>
        <w:t xml:space="preserve"> </w:t>
      </w:r>
    </w:p>
    <w:p w14:paraId="75FF8A1A">
      <w:pPr>
        <w:spacing w:line="330" w:lineRule="atLeas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、负责全区地籍调查、土地变更调查；负责土地、房屋确权，登记发证和土地、房屋抵押登记及查封；建立地籍、房籍资料库；</w:t>
      </w:r>
      <w:r>
        <w:rPr>
          <w:rFonts w:ascii="仿宋" w:hAnsi="仿宋" w:eastAsia="仿宋"/>
          <w:sz w:val="30"/>
          <w:szCs w:val="30"/>
        </w:rPr>
        <w:t xml:space="preserve"> </w:t>
      </w:r>
    </w:p>
    <w:p w14:paraId="03474583">
      <w:pPr>
        <w:spacing w:line="330" w:lineRule="atLeas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负责全区土地用途管制和基本农田保护工作；办理农用地转用、征收审批手续；对农村集体非农土地使用权流转实施审核、审批与指导；负责农民宅基地的审批和管理；负责全区土地开发、复垦与整理及建设用地“占补平衡”工作；</w:t>
      </w:r>
      <w:r>
        <w:rPr>
          <w:rFonts w:ascii="仿宋" w:hAnsi="仿宋" w:eastAsia="仿宋"/>
          <w:sz w:val="30"/>
          <w:szCs w:val="30"/>
        </w:rPr>
        <w:t xml:space="preserve"> </w:t>
      </w:r>
    </w:p>
    <w:p w14:paraId="7017B1C7">
      <w:pPr>
        <w:spacing w:line="330" w:lineRule="atLeas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、负责房产及房产市场的行业管理；负责商品房预售登记、核发商品房预销售许可证；负责房产专业测绘成果管理工作；</w:t>
      </w:r>
      <w:r>
        <w:rPr>
          <w:rFonts w:ascii="仿宋" w:hAnsi="仿宋" w:eastAsia="仿宋"/>
          <w:sz w:val="30"/>
          <w:szCs w:val="30"/>
        </w:rPr>
        <w:t xml:space="preserve"> </w:t>
      </w:r>
    </w:p>
    <w:p w14:paraId="0E540F90">
      <w:pPr>
        <w:spacing w:line="330" w:lineRule="atLeas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、负责物业管理的行业管理；监督物业产权人委员会的运作；负责开展前期物业管理和物业管理招投标的指导、监督工作；负责监督房屋维修基金的收缴和使用；</w:t>
      </w:r>
      <w:r>
        <w:rPr>
          <w:rFonts w:ascii="仿宋" w:hAnsi="仿宋" w:eastAsia="仿宋"/>
          <w:sz w:val="30"/>
          <w:szCs w:val="30"/>
        </w:rPr>
        <w:t xml:space="preserve"> </w:t>
      </w:r>
    </w:p>
    <w:p w14:paraId="76BEA550">
      <w:pPr>
        <w:spacing w:line="330" w:lineRule="atLeast"/>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、负责各类房屋的使用、拆迁、改造、白蚁防治、重点保护建筑的维护和各类房屋安全鉴定的行政管理；协调城镇房屋的防台防汛工作；</w:t>
      </w:r>
      <w:r>
        <w:rPr>
          <w:rFonts w:ascii="仿宋" w:hAnsi="仿宋" w:eastAsia="仿宋"/>
          <w:sz w:val="30"/>
          <w:szCs w:val="30"/>
        </w:rPr>
        <w:t xml:space="preserve"> </w:t>
      </w:r>
    </w:p>
    <w:p w14:paraId="01FC9826">
      <w:pPr>
        <w:spacing w:line="330" w:lineRule="atLeast"/>
        <w:ind w:firstLine="600" w:firstLineChars="200"/>
        <w:rPr>
          <w:rFonts w:ascii="仿宋" w:hAnsi="仿宋" w:eastAsia="仿宋"/>
          <w:sz w:val="30"/>
          <w:szCs w:val="30"/>
        </w:rPr>
      </w:pPr>
      <w:r>
        <w:rPr>
          <w:rFonts w:ascii="仿宋" w:hAnsi="仿宋" w:eastAsia="仿宋"/>
          <w:sz w:val="30"/>
          <w:szCs w:val="30"/>
        </w:rPr>
        <w:t>8</w:t>
      </w:r>
      <w:r>
        <w:rPr>
          <w:rFonts w:hint="eastAsia" w:ascii="仿宋" w:hAnsi="仿宋" w:eastAsia="仿宋"/>
          <w:sz w:val="30"/>
          <w:szCs w:val="30"/>
        </w:rPr>
        <w:t>、负责住房保障制度的组织实施；负责住房建设发展的行政管理；</w:t>
      </w:r>
    </w:p>
    <w:p w14:paraId="42FDC655">
      <w:pPr>
        <w:spacing w:line="330" w:lineRule="atLeast"/>
        <w:ind w:firstLine="600" w:firstLineChars="200"/>
        <w:rPr>
          <w:rFonts w:ascii="仿宋" w:hAnsi="仿宋" w:eastAsia="仿宋"/>
          <w:sz w:val="30"/>
          <w:szCs w:val="30"/>
        </w:rPr>
      </w:pPr>
      <w:r>
        <w:rPr>
          <w:rFonts w:ascii="仿宋" w:hAnsi="仿宋" w:eastAsia="仿宋"/>
          <w:sz w:val="30"/>
          <w:szCs w:val="30"/>
        </w:rPr>
        <w:t>9</w:t>
      </w:r>
      <w:r>
        <w:rPr>
          <w:rFonts w:hint="eastAsia" w:ascii="仿宋" w:hAnsi="仿宋" w:eastAsia="仿宋"/>
          <w:sz w:val="30"/>
          <w:szCs w:val="30"/>
        </w:rPr>
        <w:t>、监管矿产资源和地质遗迹（古生物化石）勘查开发、利用与保护，报批采矿权证，征收矿产资源补偿费；审核认定矿产资源储量；</w:t>
      </w:r>
      <w:r>
        <w:rPr>
          <w:rFonts w:ascii="仿宋" w:hAnsi="仿宋" w:eastAsia="仿宋"/>
          <w:sz w:val="30"/>
          <w:szCs w:val="30"/>
        </w:rPr>
        <w:t xml:space="preserve"> </w:t>
      </w:r>
    </w:p>
    <w:p w14:paraId="724B85AB">
      <w:pPr>
        <w:spacing w:line="330" w:lineRule="atLeast"/>
        <w:ind w:firstLine="600" w:firstLineChars="200"/>
        <w:rPr>
          <w:rFonts w:ascii="仿宋" w:hAnsi="仿宋" w:eastAsia="仿宋"/>
          <w:sz w:val="30"/>
          <w:szCs w:val="30"/>
        </w:rPr>
      </w:pPr>
      <w:r>
        <w:rPr>
          <w:rFonts w:ascii="仿宋" w:hAnsi="仿宋" w:eastAsia="仿宋"/>
          <w:sz w:val="30"/>
          <w:szCs w:val="30"/>
        </w:rPr>
        <w:t>10</w:t>
      </w:r>
      <w:r>
        <w:rPr>
          <w:rFonts w:hint="eastAsia" w:ascii="仿宋" w:hAnsi="仿宋" w:eastAsia="仿宋"/>
          <w:sz w:val="30"/>
          <w:szCs w:val="30"/>
        </w:rPr>
        <w:t>、负责对土地、矿产资源、地质环境、房屋管理、房产市场执法情况的检查监督；依法调处土地、各类房屋和采矿争议的权属纠纷；</w:t>
      </w:r>
      <w:r>
        <w:rPr>
          <w:rFonts w:ascii="仿宋" w:hAnsi="仿宋" w:eastAsia="仿宋"/>
          <w:sz w:val="30"/>
          <w:szCs w:val="30"/>
        </w:rPr>
        <w:t xml:space="preserve"> </w:t>
      </w:r>
    </w:p>
    <w:p w14:paraId="51DAAECC">
      <w:pPr>
        <w:spacing w:line="330" w:lineRule="atLeast"/>
        <w:ind w:firstLine="600" w:firstLineChars="200"/>
        <w:rPr>
          <w:rFonts w:ascii="仿宋" w:hAnsi="仿宋" w:eastAsia="仿宋"/>
          <w:sz w:val="30"/>
          <w:szCs w:val="30"/>
        </w:rPr>
      </w:pPr>
      <w:r>
        <w:rPr>
          <w:rFonts w:ascii="仿宋" w:hAnsi="仿宋" w:eastAsia="仿宋"/>
          <w:sz w:val="30"/>
          <w:szCs w:val="30"/>
        </w:rPr>
        <w:t>11</w:t>
      </w:r>
      <w:r>
        <w:rPr>
          <w:rFonts w:hint="eastAsia" w:ascii="仿宋" w:hAnsi="仿宋" w:eastAsia="仿宋"/>
          <w:sz w:val="30"/>
          <w:szCs w:val="30"/>
        </w:rPr>
        <w:t>、负责全区地质灾害防治、地质遗迹和地质环境保护的组织、协调、指导和监督工作；</w:t>
      </w:r>
    </w:p>
    <w:p w14:paraId="64DB5114">
      <w:pPr>
        <w:spacing w:line="330" w:lineRule="atLeast"/>
        <w:ind w:firstLine="600" w:firstLineChars="200"/>
        <w:rPr>
          <w:rFonts w:ascii="仿宋" w:hAnsi="仿宋" w:eastAsia="仿宋"/>
          <w:sz w:val="30"/>
          <w:szCs w:val="30"/>
        </w:rPr>
      </w:pPr>
      <w:r>
        <w:rPr>
          <w:rFonts w:ascii="仿宋" w:hAnsi="仿宋" w:eastAsia="仿宋"/>
          <w:sz w:val="30"/>
          <w:szCs w:val="30"/>
        </w:rPr>
        <w:t>12</w:t>
      </w:r>
      <w:r>
        <w:rPr>
          <w:rFonts w:hint="eastAsia" w:ascii="仿宋" w:hAnsi="仿宋" w:eastAsia="仿宋"/>
          <w:sz w:val="30"/>
          <w:szCs w:val="30"/>
        </w:rPr>
        <w:t>、负责土地、矿产资源、地质环境和房屋管理方面的科技、教育工作；组织协调信息网络化建设；负责土地、矿产资源、地质环境和房屋信息、档案、综合统计及档案管理；</w:t>
      </w:r>
      <w:r>
        <w:rPr>
          <w:rFonts w:ascii="仿宋" w:hAnsi="仿宋" w:eastAsia="仿宋"/>
          <w:sz w:val="30"/>
          <w:szCs w:val="30"/>
        </w:rPr>
        <w:t xml:space="preserve"> </w:t>
      </w:r>
    </w:p>
    <w:p w14:paraId="36C145C3">
      <w:pPr>
        <w:spacing w:line="330" w:lineRule="atLeast"/>
        <w:ind w:firstLine="600" w:firstLineChars="200"/>
        <w:rPr>
          <w:rFonts w:ascii="仿宋" w:hAnsi="仿宋" w:eastAsia="仿宋"/>
          <w:sz w:val="30"/>
          <w:szCs w:val="30"/>
        </w:rPr>
      </w:pPr>
      <w:r>
        <w:rPr>
          <w:rFonts w:ascii="仿宋" w:hAnsi="仿宋" w:eastAsia="仿宋"/>
          <w:sz w:val="30"/>
          <w:szCs w:val="30"/>
        </w:rPr>
        <w:t>13</w:t>
      </w:r>
      <w:r>
        <w:rPr>
          <w:rFonts w:hint="eastAsia" w:ascii="仿宋" w:hAnsi="仿宋" w:eastAsia="仿宋"/>
          <w:sz w:val="30"/>
          <w:szCs w:val="30"/>
        </w:rPr>
        <w:t>、承办市国土房屋局和管委会交办的其它工作。</w:t>
      </w:r>
    </w:p>
    <w:p w14:paraId="62A3B88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2C3167D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9年市国土资源和房屋局高新园区分局部门预算为本部综合收支计划，无二级单位。</w:t>
      </w:r>
    </w:p>
    <w:p w14:paraId="3FCC881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0E9A91A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5222AB1E">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按照综合预算的原则，本部门所有收入和支出均纳入部门预算管理，无下级预算单位。收入包括：财政拨款收入2094.2万元；支出包括：</w:t>
      </w:r>
      <w:r>
        <w:rPr>
          <w:rFonts w:hint="eastAsia" w:ascii="仿宋" w:hAnsi="仿宋" w:eastAsia="仿宋" w:cs="仿宋"/>
          <w:sz w:val="30"/>
          <w:szCs w:val="30"/>
        </w:rPr>
        <w:t>商品和服务支出144.2万元，对个人和家庭的补助支出1800万元,</w:t>
      </w:r>
      <w:r>
        <w:rPr>
          <w:rFonts w:hint="eastAsia"/>
        </w:rPr>
        <w:t xml:space="preserve"> </w:t>
      </w:r>
      <w:r>
        <w:rPr>
          <w:rFonts w:hint="eastAsia" w:ascii="仿宋" w:hAnsi="仿宋" w:eastAsia="仿宋" w:cs="仿宋"/>
          <w:sz w:val="30"/>
          <w:szCs w:val="30"/>
        </w:rPr>
        <w:t>对企事业单位的补贴150万元。</w:t>
      </w:r>
      <w:r>
        <w:rPr>
          <w:rFonts w:hint="eastAsia" w:ascii="仿宋" w:hAnsi="仿宋" w:eastAsia="仿宋" w:cs="仿宋"/>
          <w:color w:val="000000"/>
          <w:kern w:val="0"/>
          <w:sz w:val="30"/>
          <w:szCs w:val="30"/>
        </w:rPr>
        <w:t>全部为一般公共预算收支，无政府性基金预算收支。比</w:t>
      </w: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8年预算数增加178.9万元，其中</w:t>
      </w:r>
      <w:r>
        <w:rPr>
          <w:rFonts w:hint="eastAsia" w:ascii="仿宋" w:hAnsi="仿宋" w:eastAsia="仿宋" w:cs="仿宋"/>
          <w:sz w:val="30"/>
          <w:szCs w:val="30"/>
        </w:rPr>
        <w:t>商品和服务支出增加28.9万元，对企事业单位的补贴增加150万元</w:t>
      </w:r>
      <w:r>
        <w:rPr>
          <w:rFonts w:hint="eastAsia" w:ascii="仿宋" w:hAnsi="仿宋" w:eastAsia="仿宋" w:cs="仿宋"/>
          <w:color w:val="FF0000"/>
          <w:sz w:val="30"/>
          <w:szCs w:val="30"/>
        </w:rPr>
        <w:t>。</w:t>
      </w:r>
    </w:p>
    <w:p w14:paraId="39E61406">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3F7CD14E">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无“三公”经费预算</w:t>
      </w:r>
      <w:r>
        <w:rPr>
          <w:rFonts w:hint="eastAsia" w:ascii="仿宋" w:hAnsi="仿宋" w:eastAsia="仿宋" w:cs="仿宋"/>
          <w:color w:val="000000"/>
          <w:kern w:val="0"/>
          <w:sz w:val="30"/>
          <w:szCs w:val="30"/>
        </w:rPr>
        <w:t>事项</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与去年相同</w:t>
      </w:r>
      <w:r>
        <w:rPr>
          <w:rFonts w:hint="eastAsia" w:ascii="仿宋" w:hAnsi="仿宋" w:eastAsia="仿宋" w:cs="仿宋"/>
          <w:sz w:val="30"/>
          <w:szCs w:val="30"/>
        </w:rPr>
        <w:t>。</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bookmarkStart w:id="0" w:name="_GoBack"/>
      <w:bookmarkEnd w:id="0"/>
      <w:r>
        <w:rPr>
          <w:rFonts w:hint="eastAsia" w:ascii="仿宋" w:hAnsi="仿宋" w:eastAsia="仿宋" w:cs="仿宋"/>
          <w:color w:val="000000"/>
          <w:kern w:val="0"/>
          <w:sz w:val="30"/>
          <w:szCs w:val="30"/>
        </w:rPr>
        <w:t>等有关要求，严格控制“三公”经费支出。</w:t>
      </w:r>
    </w:p>
    <w:p w14:paraId="2598A365">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07322DD8">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机关运行经费包括定额公用经费8.9万元。</w:t>
      </w:r>
    </w:p>
    <w:p w14:paraId="33AFB3A5">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1C3D88FE">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602E2AB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0925079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249DC466">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74B483BA">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国有资产占有使用情况说明为：截至2018年12月31日，部门（单位）共有车辆6辆；单位价值50万元（含）以上通用设备0台（套）；单位价值100万元以上专用设备0台（套）。</w:t>
      </w:r>
    </w:p>
    <w:p w14:paraId="2F4AE0CA">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15D03978">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7B8F1C91">
      <w:pPr>
        <w:widowControl/>
        <w:spacing w:line="330" w:lineRule="atLeast"/>
        <w:ind w:firstLine="600" w:firstLineChars="200"/>
        <w:jc w:val="left"/>
        <w:rPr>
          <w:rFonts w:ascii="仿宋" w:hAnsi="仿宋" w:eastAsia="仿宋" w:cs="仿宋"/>
          <w:color w:val="000000"/>
          <w:kern w:val="0"/>
          <w:sz w:val="30"/>
          <w:szCs w:val="30"/>
        </w:rPr>
      </w:pPr>
    </w:p>
    <w:p w14:paraId="1D548E6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127CE65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06D6260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0A99595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1083B16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68F742F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0E64296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4BC1AB8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7289371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4D56546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47EA150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3C96AAC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63243EF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29D06D7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1684B5C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1F5EA1B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4BE29D5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0A3EC5C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2DBBD41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3099B303">
      <w:pPr>
        <w:widowControl/>
        <w:spacing w:line="330" w:lineRule="atLeast"/>
        <w:ind w:firstLine="600" w:firstLineChars="200"/>
        <w:jc w:val="left"/>
        <w:rPr>
          <w:rFonts w:ascii="仿宋" w:hAnsi="仿宋" w:eastAsia="仿宋" w:cs="仿宋"/>
          <w:color w:val="000000"/>
          <w:kern w:val="0"/>
          <w:sz w:val="30"/>
          <w:szCs w:val="30"/>
        </w:rPr>
      </w:pPr>
    </w:p>
    <w:p w14:paraId="0976FE9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201</w:t>
      </w:r>
      <w:r>
        <w:rPr>
          <w:rFonts w:hint="eastAsia" w:ascii="仿宋" w:hAnsi="仿宋" w:eastAsia="仿宋" w:cs="仿宋"/>
          <w:color w:val="000000"/>
          <w:kern w:val="0"/>
          <w:sz w:val="30"/>
          <w:szCs w:val="30"/>
        </w:rPr>
        <w:t>9年</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日</w:t>
      </w:r>
    </w:p>
    <w:p w14:paraId="4F326342">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A55C1"/>
    <w:rsid w:val="00101BE5"/>
    <w:rsid w:val="00104AD4"/>
    <w:rsid w:val="0010550E"/>
    <w:rsid w:val="00164A2E"/>
    <w:rsid w:val="00165857"/>
    <w:rsid w:val="00187190"/>
    <w:rsid w:val="001961A4"/>
    <w:rsid w:val="001E3E93"/>
    <w:rsid w:val="00264775"/>
    <w:rsid w:val="00265F8B"/>
    <w:rsid w:val="003003AA"/>
    <w:rsid w:val="003058AA"/>
    <w:rsid w:val="00342DA2"/>
    <w:rsid w:val="00357B6C"/>
    <w:rsid w:val="00383BCF"/>
    <w:rsid w:val="003B50ED"/>
    <w:rsid w:val="003B6306"/>
    <w:rsid w:val="003C65CD"/>
    <w:rsid w:val="003E61DA"/>
    <w:rsid w:val="003F2AA1"/>
    <w:rsid w:val="003F4DFF"/>
    <w:rsid w:val="004221E9"/>
    <w:rsid w:val="004B7CB8"/>
    <w:rsid w:val="00577CE8"/>
    <w:rsid w:val="00594FB5"/>
    <w:rsid w:val="005A04CC"/>
    <w:rsid w:val="005B2C3E"/>
    <w:rsid w:val="005F0063"/>
    <w:rsid w:val="005F34A2"/>
    <w:rsid w:val="005F4DCC"/>
    <w:rsid w:val="00614500"/>
    <w:rsid w:val="006416C3"/>
    <w:rsid w:val="006541E5"/>
    <w:rsid w:val="006674FD"/>
    <w:rsid w:val="00692FE6"/>
    <w:rsid w:val="006E2E98"/>
    <w:rsid w:val="00753345"/>
    <w:rsid w:val="00753F26"/>
    <w:rsid w:val="00755C7B"/>
    <w:rsid w:val="00763284"/>
    <w:rsid w:val="007805EB"/>
    <w:rsid w:val="007924FF"/>
    <w:rsid w:val="00793572"/>
    <w:rsid w:val="007B12D0"/>
    <w:rsid w:val="007C5E3C"/>
    <w:rsid w:val="007F23D9"/>
    <w:rsid w:val="008207A6"/>
    <w:rsid w:val="00826E6F"/>
    <w:rsid w:val="00860A2F"/>
    <w:rsid w:val="008620BC"/>
    <w:rsid w:val="008641D1"/>
    <w:rsid w:val="008741CB"/>
    <w:rsid w:val="008B01B8"/>
    <w:rsid w:val="00904F1E"/>
    <w:rsid w:val="009244A6"/>
    <w:rsid w:val="00941B10"/>
    <w:rsid w:val="00961681"/>
    <w:rsid w:val="009652AA"/>
    <w:rsid w:val="009848F0"/>
    <w:rsid w:val="009B229A"/>
    <w:rsid w:val="009F1015"/>
    <w:rsid w:val="009F229D"/>
    <w:rsid w:val="00A101D6"/>
    <w:rsid w:val="00A12672"/>
    <w:rsid w:val="00A150E4"/>
    <w:rsid w:val="00A26A44"/>
    <w:rsid w:val="00A377FD"/>
    <w:rsid w:val="00A5549A"/>
    <w:rsid w:val="00A70656"/>
    <w:rsid w:val="00A7639E"/>
    <w:rsid w:val="00A924A6"/>
    <w:rsid w:val="00B217F1"/>
    <w:rsid w:val="00B40E6C"/>
    <w:rsid w:val="00B910C0"/>
    <w:rsid w:val="00BB2822"/>
    <w:rsid w:val="00C052C0"/>
    <w:rsid w:val="00C67479"/>
    <w:rsid w:val="00CF43DA"/>
    <w:rsid w:val="00D10236"/>
    <w:rsid w:val="00D176CA"/>
    <w:rsid w:val="00D400F0"/>
    <w:rsid w:val="00D75401"/>
    <w:rsid w:val="00D82E50"/>
    <w:rsid w:val="00DC1136"/>
    <w:rsid w:val="00DD605A"/>
    <w:rsid w:val="00DD67CE"/>
    <w:rsid w:val="00DF2079"/>
    <w:rsid w:val="00E160F9"/>
    <w:rsid w:val="00E679E1"/>
    <w:rsid w:val="00E804EF"/>
    <w:rsid w:val="00EA15E7"/>
    <w:rsid w:val="00EB36A4"/>
    <w:rsid w:val="00EB6E55"/>
    <w:rsid w:val="00EE134B"/>
    <w:rsid w:val="00EE4056"/>
    <w:rsid w:val="00F01060"/>
    <w:rsid w:val="00F05AB1"/>
    <w:rsid w:val="00F251AC"/>
    <w:rsid w:val="00F713C4"/>
    <w:rsid w:val="00F72C68"/>
    <w:rsid w:val="00F76F83"/>
    <w:rsid w:val="00F87C59"/>
    <w:rsid w:val="00F94B86"/>
    <w:rsid w:val="00FC5228"/>
    <w:rsid w:val="00FD042E"/>
    <w:rsid w:val="00FD7251"/>
    <w:rsid w:val="0F9007C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2641</Words>
  <Characters>2715</Characters>
  <Lines>21</Lines>
  <Paragraphs>6</Paragraphs>
  <TotalTime>59</TotalTime>
  <ScaleCrop>false</ScaleCrop>
  <LinksUpToDate>false</LinksUpToDate>
  <CharactersWithSpaces>2993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2025-12-18T06:46:20Z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EBF75F5C83E747EF83291419C27D89F7_12</vt:lpwstr>
  </property>
</Properties>
</file>