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E1123B">
      <w:pPr>
        <w:spacing w:line="600" w:lineRule="exact"/>
        <w:rPr>
          <w:rFonts w:ascii="仿宋_GB2312" w:eastAsia="仿宋_GB2312"/>
          <w:sz w:val="32"/>
          <w:szCs w:val="32"/>
        </w:rPr>
      </w:pPr>
    </w:p>
    <w:p w14:paraId="09988472">
      <w:pPr>
        <w:widowControl/>
        <w:spacing w:line="330" w:lineRule="atLeast"/>
        <w:jc w:val="center"/>
        <w:rPr>
          <w:rFonts w:ascii="仿宋" w:hAnsi="仿宋" w:eastAsia="仿宋"/>
          <w:b/>
          <w:bCs/>
          <w:sz w:val="36"/>
          <w:szCs w:val="36"/>
        </w:rPr>
      </w:pPr>
      <w:r>
        <w:rPr>
          <w:rFonts w:hint="eastAsia" w:ascii="仿宋" w:hAnsi="仿宋" w:eastAsia="仿宋" w:cs="仿宋"/>
          <w:b/>
          <w:bCs/>
          <w:sz w:val="36"/>
          <w:szCs w:val="36"/>
        </w:rPr>
        <w:t>高新区城市管理局</w:t>
      </w:r>
      <w:r>
        <w:rPr>
          <w:rFonts w:ascii="仿宋" w:hAnsi="仿宋" w:eastAsia="仿宋" w:cs="仿宋"/>
          <w:b/>
          <w:bCs/>
          <w:color w:val="000000"/>
          <w:kern w:val="0"/>
          <w:sz w:val="36"/>
          <w:szCs w:val="36"/>
        </w:rPr>
        <w:t>2019</w:t>
      </w:r>
      <w:r>
        <w:rPr>
          <w:rFonts w:hint="eastAsia" w:ascii="仿宋" w:hAnsi="仿宋" w:eastAsia="仿宋" w:cs="仿宋"/>
          <w:b/>
          <w:bCs/>
          <w:color w:val="000000"/>
          <w:kern w:val="0"/>
          <w:sz w:val="36"/>
          <w:szCs w:val="36"/>
        </w:rPr>
        <w:t>年部门预算</w:t>
      </w:r>
    </w:p>
    <w:p w14:paraId="1DA6083B">
      <w:pPr>
        <w:widowControl/>
        <w:spacing w:line="330" w:lineRule="atLeast"/>
        <w:ind w:firstLine="602" w:firstLineChars="200"/>
        <w:jc w:val="left"/>
        <w:rPr>
          <w:rFonts w:ascii="仿宋" w:hAnsi="仿宋" w:eastAsia="仿宋"/>
          <w:b/>
          <w:bCs/>
          <w:sz w:val="30"/>
          <w:szCs w:val="30"/>
        </w:rPr>
      </w:pPr>
      <w:r>
        <w:rPr>
          <w:rFonts w:ascii="仿宋" w:hAnsi="仿宋" w:eastAsia="仿宋" w:cs="仿宋"/>
          <w:b/>
          <w:bCs/>
          <w:sz w:val="30"/>
          <w:szCs w:val="30"/>
        </w:rPr>
        <w:t xml:space="preserve">                                                                                                                                                                                                                                  </w:t>
      </w:r>
    </w:p>
    <w:p w14:paraId="54D621A8">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第一部分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部门概况</w:t>
      </w:r>
    </w:p>
    <w:p w14:paraId="0EE04098">
      <w:pPr>
        <w:spacing w:line="560" w:lineRule="exact"/>
        <w:ind w:firstLine="600" w:firstLineChars="200"/>
        <w:rPr>
          <w:rFonts w:ascii="仿宋" w:hAnsi="仿宋" w:eastAsia="仿宋"/>
          <w:sz w:val="30"/>
          <w:szCs w:val="30"/>
        </w:rPr>
      </w:pPr>
      <w:r>
        <w:rPr>
          <w:rFonts w:hint="eastAsia" w:ascii="仿宋" w:hAnsi="仿宋" w:eastAsia="仿宋"/>
          <w:sz w:val="30"/>
          <w:szCs w:val="30"/>
        </w:rPr>
        <w:t>（一）城市管理局：</w:t>
      </w:r>
    </w:p>
    <w:p w14:paraId="4DD42A51">
      <w:pPr>
        <w:spacing w:line="330" w:lineRule="atLeast"/>
        <w:ind w:firstLine="600" w:firstLineChars="200"/>
        <w:jc w:val="left"/>
        <w:rPr>
          <w:rFonts w:ascii="仿宋" w:hAnsi="仿宋" w:eastAsia="仿宋"/>
          <w:sz w:val="30"/>
          <w:szCs w:val="30"/>
        </w:rPr>
      </w:pPr>
      <w:r>
        <w:rPr>
          <w:rFonts w:ascii="仿宋" w:hAnsi="仿宋" w:eastAsia="仿宋"/>
          <w:sz w:val="30"/>
          <w:szCs w:val="30"/>
        </w:rPr>
        <w:t>1</w:t>
      </w:r>
      <w:r>
        <w:rPr>
          <w:rFonts w:hint="eastAsia" w:ascii="仿宋" w:hAnsi="仿宋" w:eastAsia="仿宋"/>
          <w:sz w:val="30"/>
          <w:szCs w:val="30"/>
        </w:rPr>
        <w:t>、制定辖区市政设施、园林绿地、环境卫生等公共设施年度建设、维</w:t>
      </w:r>
      <w:r>
        <w:rPr>
          <w:rFonts w:ascii="仿宋" w:hAnsi="仿宋" w:eastAsia="仿宋"/>
          <w:sz w:val="30"/>
          <w:szCs w:val="30"/>
        </w:rPr>
        <w:t>(</w:t>
      </w:r>
      <w:r>
        <w:rPr>
          <w:rFonts w:hint="eastAsia" w:ascii="仿宋" w:hAnsi="仿宋" w:eastAsia="仿宋"/>
          <w:sz w:val="30"/>
          <w:szCs w:val="30"/>
        </w:rPr>
        <w:t>养</w:t>
      </w:r>
      <w:r>
        <w:rPr>
          <w:rFonts w:ascii="仿宋" w:hAnsi="仿宋" w:eastAsia="仿宋"/>
          <w:sz w:val="30"/>
          <w:szCs w:val="30"/>
        </w:rPr>
        <w:t>)</w:t>
      </w:r>
      <w:r>
        <w:rPr>
          <w:rFonts w:hint="eastAsia" w:ascii="仿宋" w:hAnsi="仿宋" w:eastAsia="仿宋"/>
          <w:sz w:val="30"/>
          <w:szCs w:val="30"/>
        </w:rPr>
        <w:t>护工作计划，编制年度经费预算；</w:t>
      </w:r>
    </w:p>
    <w:p w14:paraId="313EB9C7">
      <w:pPr>
        <w:spacing w:line="330" w:lineRule="atLeast"/>
        <w:ind w:firstLine="600" w:firstLineChars="200"/>
        <w:jc w:val="left"/>
        <w:rPr>
          <w:rFonts w:ascii="仿宋" w:hAnsi="仿宋" w:eastAsia="仿宋"/>
          <w:sz w:val="30"/>
          <w:szCs w:val="30"/>
        </w:rPr>
      </w:pPr>
      <w:r>
        <w:rPr>
          <w:rFonts w:ascii="仿宋" w:hAnsi="仿宋" w:eastAsia="仿宋"/>
          <w:sz w:val="30"/>
          <w:szCs w:val="30"/>
        </w:rPr>
        <w:t>2</w:t>
      </w:r>
      <w:r>
        <w:rPr>
          <w:rFonts w:hint="eastAsia" w:ascii="仿宋" w:hAnsi="仿宋" w:eastAsia="仿宋"/>
          <w:sz w:val="30"/>
          <w:szCs w:val="30"/>
        </w:rPr>
        <w:t>、负责辖区市政道路及其附属设施、过街天桥、地下通道等公共设施、环境卫生设施建设、维</w:t>
      </w:r>
      <w:r>
        <w:rPr>
          <w:rFonts w:ascii="仿宋" w:hAnsi="仿宋" w:eastAsia="仿宋"/>
          <w:sz w:val="30"/>
          <w:szCs w:val="30"/>
        </w:rPr>
        <w:t>(</w:t>
      </w:r>
      <w:r>
        <w:rPr>
          <w:rFonts w:hint="eastAsia" w:ascii="仿宋" w:hAnsi="仿宋" w:eastAsia="仿宋"/>
          <w:sz w:val="30"/>
          <w:szCs w:val="30"/>
        </w:rPr>
        <w:t>养</w:t>
      </w:r>
      <w:r>
        <w:rPr>
          <w:rFonts w:ascii="仿宋" w:hAnsi="仿宋" w:eastAsia="仿宋"/>
          <w:sz w:val="30"/>
          <w:szCs w:val="30"/>
        </w:rPr>
        <w:t>)</w:t>
      </w:r>
      <w:r>
        <w:rPr>
          <w:rFonts w:hint="eastAsia" w:ascii="仿宋" w:hAnsi="仿宋" w:eastAsia="仿宋"/>
          <w:sz w:val="30"/>
          <w:szCs w:val="30"/>
        </w:rPr>
        <w:t>护以及日常管理工作，负责辖区内沟河、暗渠等防洪设施的建设、整治、维护工作；</w:t>
      </w:r>
    </w:p>
    <w:p w14:paraId="1FCD73EA">
      <w:pPr>
        <w:spacing w:line="330" w:lineRule="atLeast"/>
        <w:ind w:firstLine="600" w:firstLineChars="200"/>
        <w:jc w:val="left"/>
        <w:rPr>
          <w:rFonts w:ascii="仿宋" w:hAnsi="仿宋" w:eastAsia="仿宋"/>
          <w:sz w:val="30"/>
          <w:szCs w:val="30"/>
        </w:rPr>
      </w:pPr>
      <w:r>
        <w:rPr>
          <w:rFonts w:ascii="仿宋" w:hAnsi="仿宋" w:eastAsia="仿宋"/>
          <w:sz w:val="30"/>
          <w:szCs w:val="30"/>
        </w:rPr>
        <w:t>3</w:t>
      </w:r>
      <w:r>
        <w:rPr>
          <w:rFonts w:hint="eastAsia" w:ascii="仿宋" w:hAnsi="仿宋" w:eastAsia="仿宋"/>
          <w:sz w:val="30"/>
          <w:szCs w:val="30"/>
        </w:rPr>
        <w:t>、负责辖区环境卫生管理工作，对主要路街、广场、公共场所的环境进行清扫保洁，组织城市垃圾搜集、清运、处理和综合利用，并做好辖区环境卫生监督管理工作；</w:t>
      </w:r>
    </w:p>
    <w:p w14:paraId="42939D78">
      <w:pPr>
        <w:spacing w:line="330" w:lineRule="atLeast"/>
        <w:ind w:firstLine="600" w:firstLineChars="200"/>
        <w:jc w:val="left"/>
        <w:rPr>
          <w:rFonts w:ascii="仿宋" w:hAnsi="仿宋" w:eastAsia="仿宋"/>
          <w:sz w:val="30"/>
          <w:szCs w:val="30"/>
        </w:rPr>
      </w:pPr>
      <w:r>
        <w:rPr>
          <w:rFonts w:ascii="仿宋" w:hAnsi="仿宋" w:eastAsia="仿宋"/>
          <w:sz w:val="30"/>
          <w:szCs w:val="30"/>
        </w:rPr>
        <w:t>4</w:t>
      </w:r>
      <w:r>
        <w:rPr>
          <w:rFonts w:hint="eastAsia" w:ascii="仿宋" w:hAnsi="仿宋" w:eastAsia="仿宋"/>
          <w:sz w:val="30"/>
          <w:szCs w:val="30"/>
        </w:rPr>
        <w:t>、负责辖区内的园林绿地建设工作，组织实施绿化工程建设，对辖区公用绿地进行常规养护管理；</w:t>
      </w:r>
    </w:p>
    <w:p w14:paraId="1858934D">
      <w:pPr>
        <w:spacing w:line="330" w:lineRule="atLeast"/>
        <w:ind w:firstLine="600" w:firstLineChars="200"/>
        <w:jc w:val="left"/>
        <w:rPr>
          <w:rFonts w:ascii="仿宋" w:hAnsi="仿宋" w:eastAsia="仿宋"/>
          <w:sz w:val="30"/>
          <w:szCs w:val="30"/>
        </w:rPr>
      </w:pPr>
      <w:r>
        <w:rPr>
          <w:rFonts w:ascii="仿宋" w:hAnsi="仿宋" w:eastAsia="仿宋"/>
          <w:sz w:val="30"/>
          <w:szCs w:val="30"/>
        </w:rPr>
        <w:t>5</w:t>
      </w:r>
      <w:r>
        <w:rPr>
          <w:rFonts w:hint="eastAsia" w:ascii="仿宋" w:hAnsi="仿宋" w:eastAsia="仿宋"/>
          <w:sz w:val="30"/>
          <w:szCs w:val="30"/>
        </w:rPr>
        <w:t>、负责辖区道路（含明沟暗渠）挖掘、绿地及方砖步道占用、树木砍伐（移植）、雕塑、广告牌匾、灯箱设置、光明工程以及施工围档、集贸市场、停车场、摊点占道的审批和管理工作；</w:t>
      </w:r>
    </w:p>
    <w:p w14:paraId="59DAB0E1">
      <w:pPr>
        <w:spacing w:line="330" w:lineRule="atLeast"/>
        <w:ind w:firstLine="600" w:firstLineChars="200"/>
        <w:jc w:val="left"/>
        <w:rPr>
          <w:rFonts w:ascii="仿宋" w:hAnsi="仿宋" w:eastAsia="仿宋"/>
          <w:sz w:val="30"/>
          <w:szCs w:val="30"/>
        </w:rPr>
      </w:pPr>
      <w:r>
        <w:rPr>
          <w:rFonts w:ascii="仿宋" w:hAnsi="仿宋" w:eastAsia="仿宋"/>
          <w:sz w:val="30"/>
          <w:szCs w:val="30"/>
        </w:rPr>
        <w:t>6</w:t>
      </w:r>
      <w:r>
        <w:rPr>
          <w:rFonts w:hint="eastAsia" w:ascii="仿宋" w:hAnsi="仿宋" w:eastAsia="仿宋"/>
          <w:sz w:val="30"/>
          <w:szCs w:val="30"/>
        </w:rPr>
        <w:t>、负责辖区交通管理，参与开设公共交通线路规划制定，协调公共交通部门工作关系，组织设置交通信号灯、路街路牌、标示牌、导示牌等与公共交通相关的工作；</w:t>
      </w:r>
    </w:p>
    <w:p w14:paraId="63A01C60">
      <w:pPr>
        <w:spacing w:line="330" w:lineRule="atLeast"/>
        <w:ind w:firstLine="600" w:firstLineChars="200"/>
        <w:jc w:val="left"/>
        <w:rPr>
          <w:rFonts w:ascii="仿宋" w:hAnsi="仿宋" w:eastAsia="仿宋"/>
          <w:sz w:val="30"/>
          <w:szCs w:val="30"/>
        </w:rPr>
      </w:pPr>
      <w:r>
        <w:rPr>
          <w:rFonts w:ascii="仿宋" w:hAnsi="仿宋" w:eastAsia="仿宋"/>
          <w:sz w:val="30"/>
          <w:szCs w:val="30"/>
        </w:rPr>
        <w:t>7</w:t>
      </w:r>
      <w:r>
        <w:rPr>
          <w:rFonts w:hint="eastAsia" w:ascii="仿宋" w:hAnsi="仿宋" w:eastAsia="仿宋"/>
          <w:sz w:val="30"/>
          <w:szCs w:val="30"/>
        </w:rPr>
        <w:t>、负责辖区城市管理工作，协调与城市管理工作相关的上级机关及周边区域业务部门工作关系，组织开展经常性城市管理达标考核；组织辖区机关、院校、部队及企事业单位做好防台防汛和冬季除雪等社会公益工作，负责节日亮化及光明工程；</w:t>
      </w:r>
    </w:p>
    <w:p w14:paraId="7EDD70A2">
      <w:pPr>
        <w:spacing w:line="330" w:lineRule="atLeast"/>
        <w:ind w:firstLine="600" w:firstLineChars="200"/>
        <w:jc w:val="left"/>
        <w:rPr>
          <w:rFonts w:ascii="仿宋" w:hAnsi="仿宋" w:eastAsia="仿宋"/>
          <w:sz w:val="30"/>
          <w:szCs w:val="30"/>
        </w:rPr>
      </w:pPr>
      <w:r>
        <w:rPr>
          <w:rFonts w:ascii="仿宋" w:hAnsi="仿宋" w:eastAsia="仿宋"/>
          <w:sz w:val="30"/>
          <w:szCs w:val="30"/>
        </w:rPr>
        <w:t>8</w:t>
      </w:r>
      <w:r>
        <w:rPr>
          <w:rFonts w:hint="eastAsia" w:ascii="仿宋" w:hAnsi="仿宋" w:eastAsia="仿宋"/>
          <w:sz w:val="30"/>
          <w:szCs w:val="30"/>
        </w:rPr>
        <w:t>、履行交通局相关职能。</w:t>
      </w:r>
    </w:p>
    <w:p w14:paraId="4757B52E">
      <w:pPr>
        <w:spacing w:line="560" w:lineRule="exact"/>
        <w:ind w:firstLine="600" w:firstLineChars="200"/>
        <w:rPr>
          <w:rFonts w:ascii="仿宋" w:hAnsi="仿宋" w:eastAsia="仿宋"/>
          <w:sz w:val="30"/>
          <w:szCs w:val="30"/>
        </w:rPr>
      </w:pPr>
      <w:r>
        <w:rPr>
          <w:rFonts w:hint="eastAsia" w:ascii="仿宋" w:hAnsi="仿宋" w:eastAsia="仿宋"/>
          <w:sz w:val="30"/>
          <w:szCs w:val="30"/>
        </w:rPr>
        <w:t>（二）交通管理局：</w:t>
      </w:r>
    </w:p>
    <w:p w14:paraId="1871A0A9">
      <w:pPr>
        <w:spacing w:line="560" w:lineRule="exact"/>
        <w:ind w:firstLine="600" w:firstLineChars="200"/>
        <w:rPr>
          <w:rFonts w:ascii="仿宋" w:hAnsi="仿宋" w:eastAsia="仿宋"/>
          <w:sz w:val="30"/>
          <w:szCs w:val="30"/>
        </w:rPr>
      </w:pPr>
      <w:r>
        <w:rPr>
          <w:rFonts w:ascii="仿宋" w:hAnsi="仿宋" w:eastAsia="仿宋"/>
          <w:sz w:val="30"/>
          <w:szCs w:val="30"/>
        </w:rPr>
        <w:t>1</w:t>
      </w:r>
      <w:r>
        <w:rPr>
          <w:rFonts w:hint="eastAsia" w:ascii="仿宋" w:hAnsi="仿宋" w:eastAsia="仿宋"/>
          <w:sz w:val="30"/>
          <w:szCs w:val="30"/>
        </w:rPr>
        <w:t>、贯彻执行国家和省市有关交通行业发展战略、方针政策和法律法规，拟制政府规章，制定规范性文件，负责区内交通行业执法、监督；</w:t>
      </w:r>
    </w:p>
    <w:p w14:paraId="1C8C195E">
      <w:pPr>
        <w:spacing w:line="560" w:lineRule="exact"/>
        <w:ind w:firstLine="600" w:firstLineChars="200"/>
        <w:rPr>
          <w:rFonts w:ascii="仿宋" w:hAnsi="仿宋" w:eastAsia="仿宋"/>
          <w:sz w:val="30"/>
          <w:szCs w:val="30"/>
        </w:rPr>
      </w:pPr>
      <w:r>
        <w:rPr>
          <w:rFonts w:ascii="仿宋" w:hAnsi="仿宋" w:eastAsia="仿宋"/>
          <w:sz w:val="30"/>
          <w:szCs w:val="30"/>
        </w:rPr>
        <w:t>2</w:t>
      </w:r>
      <w:r>
        <w:rPr>
          <w:rFonts w:hint="eastAsia" w:ascii="仿宋" w:hAnsi="仿宋" w:eastAsia="仿宋"/>
          <w:sz w:val="30"/>
          <w:szCs w:val="30"/>
        </w:rPr>
        <w:t>、负责区内交通规划的制定和组织实施；</w:t>
      </w:r>
      <w:r>
        <w:rPr>
          <w:rFonts w:ascii="仿宋" w:hAnsi="仿宋" w:eastAsia="仿宋"/>
          <w:sz w:val="30"/>
          <w:szCs w:val="30"/>
        </w:rPr>
        <w:t xml:space="preserve"> </w:t>
      </w:r>
    </w:p>
    <w:p w14:paraId="6C82F1FB">
      <w:pPr>
        <w:spacing w:line="560" w:lineRule="exact"/>
        <w:ind w:firstLine="600" w:firstLineChars="200"/>
        <w:rPr>
          <w:rFonts w:ascii="仿宋" w:hAnsi="仿宋" w:eastAsia="仿宋"/>
          <w:sz w:val="30"/>
          <w:szCs w:val="30"/>
        </w:rPr>
      </w:pPr>
      <w:r>
        <w:rPr>
          <w:rFonts w:ascii="仿宋" w:hAnsi="仿宋" w:eastAsia="仿宋"/>
          <w:sz w:val="30"/>
          <w:szCs w:val="30"/>
        </w:rPr>
        <w:t>3</w:t>
      </w:r>
      <w:r>
        <w:rPr>
          <w:rFonts w:hint="eastAsia" w:ascii="仿宋" w:hAnsi="仿宋" w:eastAsia="仿宋"/>
          <w:sz w:val="30"/>
          <w:szCs w:val="30"/>
        </w:rPr>
        <w:t>、负责全区交通基础设施建设、养护、管理；负责交通基本建设项目的论证、审定、招投标、工程管理和质量监督工作；</w:t>
      </w:r>
    </w:p>
    <w:p w14:paraId="7A990D79">
      <w:pPr>
        <w:spacing w:line="560" w:lineRule="exact"/>
        <w:ind w:firstLine="600" w:firstLineChars="200"/>
        <w:rPr>
          <w:rFonts w:ascii="仿宋" w:hAnsi="仿宋" w:eastAsia="仿宋"/>
          <w:sz w:val="30"/>
          <w:szCs w:val="30"/>
        </w:rPr>
      </w:pPr>
      <w:r>
        <w:rPr>
          <w:rFonts w:ascii="仿宋" w:hAnsi="仿宋" w:eastAsia="仿宋"/>
          <w:sz w:val="30"/>
          <w:szCs w:val="30"/>
        </w:rPr>
        <w:t>4</w:t>
      </w:r>
      <w:r>
        <w:rPr>
          <w:rFonts w:hint="eastAsia" w:ascii="仿宋" w:hAnsi="仿宋" w:eastAsia="仿宋"/>
          <w:sz w:val="30"/>
          <w:szCs w:val="30"/>
        </w:rPr>
        <w:t>、贯彻落实各级政府有关道路运输的政策、法规，编制辖区道路运输中、长期发展规划；</w:t>
      </w:r>
    </w:p>
    <w:p w14:paraId="7BA8C9B0">
      <w:pPr>
        <w:spacing w:line="560" w:lineRule="exact"/>
        <w:ind w:firstLine="600" w:firstLineChars="200"/>
        <w:rPr>
          <w:rFonts w:ascii="仿宋" w:hAnsi="仿宋" w:eastAsia="仿宋"/>
          <w:sz w:val="30"/>
          <w:szCs w:val="30"/>
        </w:rPr>
      </w:pPr>
      <w:r>
        <w:rPr>
          <w:rFonts w:ascii="仿宋" w:hAnsi="仿宋" w:eastAsia="仿宋"/>
          <w:sz w:val="30"/>
          <w:szCs w:val="30"/>
        </w:rPr>
        <w:t>5</w:t>
      </w:r>
      <w:r>
        <w:rPr>
          <w:rFonts w:hint="eastAsia" w:ascii="仿宋" w:hAnsi="仿宋" w:eastAsia="仿宋"/>
          <w:sz w:val="30"/>
          <w:szCs w:val="30"/>
        </w:rPr>
        <w:t>、负责全区道路货运、机动车维修、运输服务业的行业管理工作；制定道路货运、汽车维修的规章制度及技术规范、标准；审批货运业户、维修业户开业、歇业和停业；维护运输市场秩序，依法查处违章行为；</w:t>
      </w:r>
    </w:p>
    <w:p w14:paraId="2EEA0532">
      <w:pPr>
        <w:spacing w:line="560" w:lineRule="exact"/>
        <w:ind w:firstLine="600" w:firstLineChars="200"/>
        <w:rPr>
          <w:rFonts w:ascii="仿宋" w:hAnsi="仿宋" w:eastAsia="仿宋"/>
          <w:sz w:val="30"/>
          <w:szCs w:val="30"/>
        </w:rPr>
      </w:pPr>
      <w:r>
        <w:rPr>
          <w:rFonts w:ascii="仿宋" w:hAnsi="仿宋" w:eastAsia="仿宋"/>
          <w:sz w:val="30"/>
          <w:szCs w:val="30"/>
        </w:rPr>
        <w:t>6</w:t>
      </w:r>
      <w:r>
        <w:rPr>
          <w:rFonts w:hint="eastAsia" w:ascii="仿宋" w:hAnsi="仿宋" w:eastAsia="仿宋"/>
          <w:sz w:val="30"/>
          <w:szCs w:val="30"/>
        </w:rPr>
        <w:t>、负责全区交通系统抢险救灾、战备等重点物资运输指挥；负责全区交通战备工作；</w:t>
      </w:r>
      <w:r>
        <w:rPr>
          <w:rFonts w:ascii="仿宋" w:hAnsi="仿宋" w:eastAsia="仿宋"/>
          <w:sz w:val="30"/>
          <w:szCs w:val="30"/>
        </w:rPr>
        <w:t xml:space="preserve"> </w:t>
      </w:r>
    </w:p>
    <w:p w14:paraId="47FDA06A">
      <w:pPr>
        <w:spacing w:line="560" w:lineRule="exact"/>
        <w:ind w:firstLine="600" w:firstLineChars="200"/>
        <w:rPr>
          <w:rFonts w:ascii="仿宋" w:hAnsi="仿宋" w:eastAsia="仿宋"/>
          <w:sz w:val="30"/>
          <w:szCs w:val="30"/>
        </w:rPr>
      </w:pPr>
      <w:r>
        <w:rPr>
          <w:rFonts w:ascii="仿宋" w:hAnsi="仿宋" w:eastAsia="仿宋"/>
          <w:sz w:val="30"/>
          <w:szCs w:val="30"/>
        </w:rPr>
        <w:t>7</w:t>
      </w:r>
      <w:r>
        <w:rPr>
          <w:rFonts w:hint="eastAsia" w:ascii="仿宋" w:hAnsi="仿宋" w:eastAsia="仿宋"/>
          <w:sz w:val="30"/>
          <w:szCs w:val="30"/>
        </w:rPr>
        <w:t>、按有关规定负责交通规费的征收、使用、管理。</w:t>
      </w:r>
    </w:p>
    <w:p w14:paraId="3C86E150">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二、部门预算单位构成</w:t>
      </w:r>
    </w:p>
    <w:p w14:paraId="767A1F16">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2019</w:t>
      </w:r>
      <w:r>
        <w:rPr>
          <w:rFonts w:hint="eastAsia" w:ascii="仿宋" w:hAnsi="仿宋" w:eastAsia="仿宋" w:cs="仿宋"/>
          <w:color w:val="000000"/>
          <w:kern w:val="0"/>
          <w:sz w:val="30"/>
          <w:szCs w:val="30"/>
        </w:rPr>
        <w:t>年城市管理局部门预算为本部综合收支计划，无二级单位。</w:t>
      </w:r>
    </w:p>
    <w:p w14:paraId="654984A3">
      <w:pPr>
        <w:widowControl/>
        <w:spacing w:line="330" w:lineRule="atLeast"/>
        <w:ind w:firstLine="600" w:firstLineChars="200"/>
        <w:jc w:val="left"/>
        <w:rPr>
          <w:rFonts w:ascii="仿宋" w:hAnsi="仿宋" w:eastAsia="仿宋" w:cs="仿宋"/>
          <w:color w:val="000000"/>
          <w:kern w:val="0"/>
          <w:sz w:val="30"/>
          <w:szCs w:val="30"/>
        </w:rPr>
      </w:pPr>
    </w:p>
    <w:p w14:paraId="55B35381">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第二部分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部门预算情况说明</w:t>
      </w:r>
    </w:p>
    <w:p w14:paraId="33576B74">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一、总体说明</w:t>
      </w:r>
    </w:p>
    <w:p w14:paraId="0933D2D2">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按照综合预算的原则，本部门所有收入和支出均纳入部门预算管理，无下级预算单位。收入包括：财政拨款收入</w:t>
      </w:r>
      <w:r>
        <w:rPr>
          <w:rFonts w:ascii="仿宋" w:hAnsi="仿宋" w:eastAsia="仿宋" w:cs="仿宋"/>
          <w:color w:val="000000"/>
          <w:kern w:val="0"/>
          <w:sz w:val="30"/>
          <w:szCs w:val="30"/>
        </w:rPr>
        <w:t>2991.2</w:t>
      </w:r>
      <w:r>
        <w:rPr>
          <w:rFonts w:hint="eastAsia" w:ascii="仿宋" w:hAnsi="仿宋" w:eastAsia="仿宋" w:cs="仿宋"/>
          <w:color w:val="000000"/>
          <w:kern w:val="0"/>
          <w:sz w:val="30"/>
          <w:szCs w:val="30"/>
        </w:rPr>
        <w:t>万元；支出包括：商品和服务支出</w:t>
      </w:r>
      <w:r>
        <w:rPr>
          <w:rFonts w:ascii="仿宋" w:hAnsi="仿宋" w:eastAsia="仿宋" w:cs="仿宋"/>
          <w:color w:val="000000"/>
          <w:kern w:val="0"/>
          <w:sz w:val="30"/>
          <w:szCs w:val="30"/>
        </w:rPr>
        <w:t>2991.2</w:t>
      </w:r>
      <w:r>
        <w:rPr>
          <w:rFonts w:hint="eastAsia" w:ascii="仿宋" w:hAnsi="仿宋" w:eastAsia="仿宋" w:cs="仿宋"/>
          <w:kern w:val="0"/>
          <w:sz w:val="30"/>
          <w:szCs w:val="30"/>
        </w:rPr>
        <w:t>万元</w:t>
      </w:r>
      <w:r>
        <w:rPr>
          <w:rFonts w:hint="eastAsia" w:ascii="仿宋" w:hAnsi="仿宋" w:eastAsia="仿宋" w:cs="仿宋"/>
          <w:color w:val="000000"/>
          <w:kern w:val="0"/>
          <w:sz w:val="30"/>
          <w:szCs w:val="30"/>
        </w:rPr>
        <w:t>。全部为一般公共预算收支，无政府性基金预算收支。比</w:t>
      </w:r>
      <w:r>
        <w:rPr>
          <w:rFonts w:ascii="仿宋" w:hAnsi="仿宋" w:eastAsia="仿宋" w:cs="仿宋"/>
          <w:color w:val="000000"/>
          <w:kern w:val="0"/>
          <w:sz w:val="30"/>
          <w:szCs w:val="30"/>
        </w:rPr>
        <w:t>2018</w:t>
      </w:r>
      <w:r>
        <w:rPr>
          <w:rFonts w:hint="eastAsia" w:ascii="仿宋" w:hAnsi="仿宋" w:eastAsia="仿宋" w:cs="仿宋"/>
          <w:color w:val="000000"/>
          <w:kern w:val="0"/>
          <w:sz w:val="30"/>
          <w:szCs w:val="30"/>
        </w:rPr>
        <w:t>年预算数减少</w:t>
      </w:r>
      <w:r>
        <w:rPr>
          <w:rFonts w:ascii="仿宋" w:hAnsi="仿宋" w:eastAsia="仿宋" w:cs="仿宋"/>
          <w:color w:val="000000"/>
          <w:kern w:val="0"/>
          <w:sz w:val="30"/>
          <w:szCs w:val="30"/>
        </w:rPr>
        <w:t>613.6</w:t>
      </w:r>
      <w:r>
        <w:rPr>
          <w:rFonts w:hint="eastAsia" w:ascii="仿宋" w:hAnsi="仿宋" w:eastAsia="仿宋" w:cs="仿宋"/>
          <w:color w:val="000000"/>
          <w:kern w:val="0"/>
          <w:sz w:val="30"/>
          <w:szCs w:val="30"/>
        </w:rPr>
        <w:t>万元，其中</w:t>
      </w:r>
      <w:r>
        <w:rPr>
          <w:rFonts w:hint="eastAsia" w:ascii="仿宋" w:hAnsi="仿宋" w:eastAsia="仿宋" w:cs="仿宋"/>
          <w:sz w:val="30"/>
          <w:szCs w:val="30"/>
        </w:rPr>
        <w:t>商品和服务支出</w:t>
      </w:r>
      <w:r>
        <w:rPr>
          <w:rFonts w:hint="eastAsia" w:ascii="仿宋" w:hAnsi="仿宋" w:eastAsia="仿宋" w:cs="仿宋"/>
          <w:color w:val="000000"/>
          <w:kern w:val="0"/>
          <w:sz w:val="30"/>
          <w:szCs w:val="30"/>
        </w:rPr>
        <w:t>减少</w:t>
      </w:r>
      <w:r>
        <w:rPr>
          <w:rFonts w:ascii="仿宋" w:hAnsi="仿宋" w:eastAsia="仿宋" w:cs="仿宋"/>
          <w:color w:val="000000"/>
          <w:kern w:val="0"/>
          <w:sz w:val="30"/>
          <w:szCs w:val="30"/>
        </w:rPr>
        <w:t>613.6</w:t>
      </w:r>
      <w:r>
        <w:rPr>
          <w:rFonts w:hint="eastAsia" w:ascii="仿宋" w:hAnsi="仿宋" w:eastAsia="仿宋" w:cs="仿宋"/>
          <w:sz w:val="30"/>
          <w:szCs w:val="30"/>
        </w:rPr>
        <w:t>万元</w:t>
      </w:r>
      <w:r>
        <w:rPr>
          <w:rFonts w:hint="eastAsia" w:ascii="仿宋" w:hAnsi="仿宋" w:eastAsia="仿宋" w:cs="仿宋"/>
          <w:color w:val="000000"/>
          <w:sz w:val="30"/>
          <w:szCs w:val="30"/>
        </w:rPr>
        <w:t>。</w:t>
      </w:r>
    </w:p>
    <w:p w14:paraId="2078597E">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二、“三公”经费预算情况说明</w:t>
      </w:r>
    </w:p>
    <w:p w14:paraId="06479F55">
      <w:pPr>
        <w:spacing w:line="600" w:lineRule="exac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“三公”经费预算数</w:t>
      </w:r>
      <w:r>
        <w:rPr>
          <w:rFonts w:ascii="仿宋" w:hAnsi="仿宋" w:eastAsia="仿宋" w:cs="仿宋"/>
          <w:color w:val="000000"/>
          <w:kern w:val="0"/>
          <w:sz w:val="30"/>
          <w:szCs w:val="30"/>
        </w:rPr>
        <w:t>90</w:t>
      </w:r>
      <w:r>
        <w:rPr>
          <w:rFonts w:hint="eastAsia" w:ascii="仿宋" w:hAnsi="仿宋" w:eastAsia="仿宋" w:cs="仿宋"/>
          <w:color w:val="000000"/>
          <w:kern w:val="0"/>
          <w:sz w:val="30"/>
          <w:szCs w:val="30"/>
        </w:rPr>
        <w:t>万元，全部为公务用车运行维护费，同比减少公务用车运行维护费</w:t>
      </w:r>
      <w:r>
        <w:rPr>
          <w:rFonts w:ascii="仿宋" w:hAnsi="仿宋" w:eastAsia="仿宋" w:cs="仿宋"/>
          <w:color w:val="000000"/>
          <w:kern w:val="0"/>
          <w:sz w:val="30"/>
          <w:szCs w:val="30"/>
        </w:rPr>
        <w:t>8</w:t>
      </w:r>
      <w:r>
        <w:rPr>
          <w:rFonts w:hint="eastAsia" w:ascii="仿宋" w:hAnsi="仿宋" w:eastAsia="仿宋" w:cs="仿宋"/>
          <w:color w:val="000000"/>
          <w:kern w:val="0"/>
          <w:sz w:val="30"/>
          <w:szCs w:val="30"/>
        </w:rPr>
        <w:t>万元。主要是按照中央及市委、市政府关于厉行节约、改进工作作风、密切联系群众</w:t>
      </w:r>
      <w:r>
        <w:rPr>
          <w:rFonts w:hint="eastAsia" w:ascii="仿宋" w:hAnsi="仿宋" w:eastAsia="仿宋" w:cs="仿宋"/>
          <w:color w:val="000000"/>
          <w:kern w:val="0"/>
          <w:sz w:val="30"/>
          <w:szCs w:val="30"/>
          <w:lang w:eastAsia="zh-CN"/>
        </w:rPr>
        <w:t>中央八项规定</w:t>
      </w:r>
      <w:r>
        <w:rPr>
          <w:rFonts w:hint="eastAsia" w:ascii="仿宋" w:hAnsi="仿宋" w:eastAsia="仿宋" w:cs="仿宋"/>
          <w:color w:val="000000"/>
          <w:kern w:val="0"/>
          <w:sz w:val="30"/>
          <w:szCs w:val="30"/>
        </w:rPr>
        <w:t>等有关要求，严格控制“三公”经费支出。</w:t>
      </w:r>
    </w:p>
    <w:p w14:paraId="40705491">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三、机关运行经费安排情况说明</w:t>
      </w:r>
    </w:p>
    <w:p w14:paraId="73216E84">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机关运行经费包括定额公用经费</w:t>
      </w:r>
      <w:r>
        <w:rPr>
          <w:rFonts w:ascii="仿宋" w:hAnsi="仿宋" w:eastAsia="仿宋" w:cs="仿宋"/>
          <w:color w:val="000000"/>
          <w:kern w:val="0"/>
          <w:sz w:val="30"/>
          <w:szCs w:val="30"/>
        </w:rPr>
        <w:t>6.2</w:t>
      </w:r>
      <w:bookmarkStart w:id="0" w:name="_GoBack"/>
      <w:bookmarkEnd w:id="0"/>
      <w:r>
        <w:rPr>
          <w:rFonts w:hint="eastAsia" w:ascii="仿宋" w:hAnsi="仿宋" w:eastAsia="仿宋" w:cs="仿宋"/>
          <w:color w:val="000000"/>
          <w:kern w:val="0"/>
          <w:sz w:val="30"/>
          <w:szCs w:val="30"/>
        </w:rPr>
        <w:t>万元、公务用车运行维护费</w:t>
      </w:r>
      <w:r>
        <w:rPr>
          <w:rFonts w:ascii="仿宋" w:hAnsi="仿宋" w:eastAsia="仿宋" w:cs="仿宋"/>
          <w:sz w:val="30"/>
          <w:szCs w:val="30"/>
        </w:rPr>
        <w:t>90</w:t>
      </w:r>
      <w:r>
        <w:rPr>
          <w:rFonts w:hint="eastAsia" w:ascii="仿宋" w:hAnsi="仿宋" w:eastAsia="仿宋" w:cs="仿宋"/>
          <w:color w:val="000000"/>
          <w:kern w:val="0"/>
          <w:sz w:val="30"/>
          <w:szCs w:val="30"/>
        </w:rPr>
        <w:t>万元。</w:t>
      </w:r>
    </w:p>
    <w:p w14:paraId="0334EEC7">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四、政府采购情况说明</w:t>
      </w:r>
    </w:p>
    <w:p w14:paraId="41DE2B56">
      <w:pPr>
        <w:widowControl/>
        <w:spacing w:line="330" w:lineRule="atLeast"/>
        <w:ind w:firstLine="600" w:firstLineChars="200"/>
        <w:jc w:val="left"/>
        <w:rPr>
          <w:rFonts w:ascii="仿宋" w:hAnsi="仿宋" w:eastAsia="仿宋"/>
          <w:color w:val="000000"/>
          <w:kern w:val="0"/>
          <w:sz w:val="30"/>
          <w:szCs w:val="30"/>
        </w:rPr>
      </w:pPr>
      <w:r>
        <w:rPr>
          <w:rFonts w:hint="eastAsia" w:ascii="仿宋" w:hAnsi="仿宋" w:eastAsia="仿宋" w:cs="仿宋"/>
          <w:color w:val="000000"/>
          <w:kern w:val="0"/>
          <w:sz w:val="30"/>
          <w:szCs w:val="30"/>
        </w:rPr>
        <w:t>城市维护费中绿化、环卫等相关项目履行政府采购程序。</w:t>
      </w:r>
    </w:p>
    <w:p w14:paraId="479201A3">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五、政府性基金收支预算情况</w:t>
      </w:r>
    </w:p>
    <w:p w14:paraId="3643CB97">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无政府性基金预算收支。</w:t>
      </w:r>
    </w:p>
    <w:p w14:paraId="26C09CAC">
      <w:pPr>
        <w:spacing w:line="330" w:lineRule="atLeas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六、国有资产占有使用情况说明</w:t>
      </w:r>
    </w:p>
    <w:p w14:paraId="4278D471">
      <w:pPr>
        <w:spacing w:line="330" w:lineRule="atLeast"/>
        <w:ind w:firstLine="600" w:firstLineChars="200"/>
        <w:rPr>
          <w:rFonts w:hint="eastAsia" w:ascii="仿宋" w:hAnsi="仿宋" w:eastAsia="仿宋" w:cs="仿宋"/>
          <w:color w:val="000000"/>
          <w:kern w:val="0"/>
          <w:sz w:val="30"/>
          <w:szCs w:val="30"/>
        </w:rPr>
      </w:pPr>
      <w:r>
        <w:rPr>
          <w:rFonts w:hint="eastAsia" w:ascii="仿宋" w:hAnsi="仿宋" w:eastAsia="仿宋" w:cs="仿宋"/>
          <w:color w:val="000000"/>
          <w:kern w:val="0"/>
          <w:sz w:val="30"/>
          <w:szCs w:val="30"/>
        </w:rPr>
        <w:t>国有资产占有使用情况说明为：截至2018年12月31日，部门（单位）共有车辆146辆；单位价值50万元（含）以上通用设备0台（套）；单位价值100万元以上专用设备0台（套）。</w:t>
      </w:r>
    </w:p>
    <w:p w14:paraId="7C210A8E">
      <w:pPr>
        <w:widowControl/>
        <w:spacing w:line="330" w:lineRule="atLeast"/>
        <w:ind w:firstLine="600" w:firstLineChars="200"/>
        <w:jc w:val="left"/>
        <w:rPr>
          <w:rFonts w:hint="eastAsia" w:ascii="仿宋" w:hAnsi="仿宋" w:eastAsia="仿宋" w:cs="仿宋"/>
          <w:color w:val="000000"/>
          <w:kern w:val="0"/>
          <w:sz w:val="30"/>
          <w:szCs w:val="30"/>
        </w:rPr>
      </w:pPr>
      <w:r>
        <w:rPr>
          <w:rFonts w:hint="eastAsia" w:ascii="仿宋" w:hAnsi="仿宋" w:eastAsia="仿宋" w:cs="仿宋"/>
          <w:color w:val="000000"/>
          <w:kern w:val="0"/>
          <w:sz w:val="30"/>
          <w:szCs w:val="30"/>
        </w:rPr>
        <w:t>七、预算绩效管理情况</w:t>
      </w:r>
    </w:p>
    <w:p w14:paraId="028E47E2">
      <w:pPr>
        <w:ind w:firstLine="600" w:firstLineChars="200"/>
        <w:rPr>
          <w:rFonts w:hint="eastAsia" w:ascii="仿宋" w:hAnsi="仿宋" w:eastAsia="仿宋" w:cs="仿宋"/>
          <w:color w:val="000000"/>
          <w:kern w:val="0"/>
          <w:sz w:val="30"/>
          <w:szCs w:val="30"/>
        </w:rPr>
      </w:pPr>
      <w:r>
        <w:rPr>
          <w:rFonts w:hint="eastAsia" w:ascii="仿宋" w:hAnsi="仿宋" w:eastAsia="仿宋" w:cs="仿宋"/>
          <w:color w:val="000000"/>
          <w:kern w:val="0"/>
          <w:sz w:val="30"/>
          <w:szCs w:val="30"/>
        </w:rPr>
        <w:t>本部门预算绩效工作暂未开展,年度内按照上级工作部署适时推进。</w:t>
      </w:r>
    </w:p>
    <w:p w14:paraId="45392886">
      <w:pPr>
        <w:widowControl/>
        <w:spacing w:line="330" w:lineRule="atLeast"/>
        <w:ind w:firstLine="600" w:firstLineChars="200"/>
        <w:jc w:val="left"/>
        <w:rPr>
          <w:rFonts w:ascii="仿宋" w:hAnsi="仿宋" w:eastAsia="仿宋" w:cs="仿宋"/>
          <w:color w:val="000000"/>
          <w:kern w:val="0"/>
          <w:sz w:val="30"/>
          <w:szCs w:val="30"/>
        </w:rPr>
      </w:pPr>
    </w:p>
    <w:p w14:paraId="73DFF161">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第三部分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名词解释</w:t>
      </w:r>
    </w:p>
    <w:p w14:paraId="40563303">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财政拨款收入：指市财政当年拨付的资金。</w:t>
      </w:r>
      <w:r>
        <w:rPr>
          <w:rFonts w:ascii="仿宋" w:hAnsi="仿宋" w:eastAsia="仿宋" w:cs="仿宋"/>
          <w:color w:val="000000"/>
          <w:kern w:val="0"/>
          <w:sz w:val="30"/>
          <w:szCs w:val="30"/>
        </w:rPr>
        <w:t xml:space="preserve"> </w:t>
      </w:r>
    </w:p>
    <w:p w14:paraId="2040B5ED">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其他收入：指除“财政拨款收入”、“财政专户拨款收入”等以外的收入，包括事业单位经营性收入、上级补助收入、附属单位上缴收入等。</w:t>
      </w:r>
    </w:p>
    <w:p w14:paraId="750552A6">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3.</w:t>
      </w:r>
      <w:r>
        <w:rPr>
          <w:rFonts w:hint="eastAsia" w:ascii="仿宋" w:hAnsi="仿宋" w:eastAsia="仿宋" w:cs="仿宋"/>
          <w:color w:val="000000"/>
          <w:kern w:val="0"/>
          <w:sz w:val="30"/>
          <w:szCs w:val="30"/>
        </w:rPr>
        <w:t>基本支出：指为保障机构正常运转、完成日常工作任务而发生的人员支出和公用支出。</w:t>
      </w:r>
    </w:p>
    <w:p w14:paraId="7BB5A794">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项目支出：指在基本支出之外为完成特定行政任务和事业发展目标所发生的支出。</w:t>
      </w:r>
    </w:p>
    <w:p w14:paraId="1E67E3B5">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5.</w:t>
      </w:r>
      <w:r>
        <w:rPr>
          <w:rFonts w:hint="eastAsia" w:ascii="仿宋" w:hAnsi="仿宋" w:eastAsia="仿宋" w:cs="仿宋"/>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008057C5">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6.</w:t>
      </w:r>
      <w:r>
        <w:rPr>
          <w:rFonts w:hint="eastAsia" w:ascii="仿宋" w:hAnsi="仿宋" w:eastAsia="仿宋" w:cs="仿宋"/>
          <w:color w:val="000000"/>
          <w:kern w:val="0"/>
          <w:sz w:val="30"/>
          <w:szCs w:val="30"/>
        </w:rPr>
        <w:t>一般公共服务（类）财政事务（款）行政运行（项）：反映行政单位（包括实行公务员管理的事业单位）的基本支出。</w:t>
      </w:r>
    </w:p>
    <w:p w14:paraId="5B624D46">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7.</w:t>
      </w:r>
      <w:r>
        <w:rPr>
          <w:rFonts w:hint="eastAsia" w:ascii="仿宋" w:hAnsi="仿宋" w:eastAsia="仿宋" w:cs="仿宋"/>
          <w:color w:val="000000"/>
          <w:kern w:val="0"/>
          <w:sz w:val="30"/>
          <w:szCs w:val="30"/>
        </w:rPr>
        <w:t>一般公共服务（类）财政事务（款）一般行政管理事务（项）：反映行政单位（包括实行公务员管理的事业单位）未单独设置项级科目的其他项目支出。</w:t>
      </w:r>
    </w:p>
    <w:p w14:paraId="5A7F5986">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8</w:t>
      </w:r>
      <w:r>
        <w:rPr>
          <w:rFonts w:hint="eastAsia" w:ascii="仿宋" w:hAnsi="仿宋" w:eastAsia="仿宋" w:cs="仿宋"/>
          <w:color w:val="000000"/>
          <w:kern w:val="0"/>
          <w:sz w:val="30"/>
          <w:szCs w:val="30"/>
        </w:rPr>
        <w:t>一般公共服务（类）财政事务（款）信息化建设（项）：反映财政部门用于“金财工程”等信息化建设方面的支出。</w:t>
      </w:r>
    </w:p>
    <w:p w14:paraId="57E59416">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9.</w:t>
      </w:r>
      <w:r>
        <w:rPr>
          <w:rFonts w:hint="eastAsia" w:ascii="仿宋" w:hAnsi="仿宋" w:eastAsia="仿宋" w:cs="仿宋"/>
          <w:color w:val="000000"/>
          <w:kern w:val="0"/>
          <w:sz w:val="30"/>
          <w:szCs w:val="30"/>
        </w:rPr>
        <w:t>一般公共服务（类）财政事务（款）财政委托业务支出（项）：反映财政委托评审机构进行财政投资评审和委托建设银行等机构代理业务发生的支出。</w:t>
      </w:r>
    </w:p>
    <w:p w14:paraId="64A01621">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10. </w:t>
      </w:r>
      <w:r>
        <w:rPr>
          <w:rFonts w:hint="eastAsia" w:ascii="仿宋" w:hAnsi="仿宋" w:eastAsia="仿宋" w:cs="仿宋"/>
          <w:color w:val="000000"/>
          <w:kern w:val="0"/>
          <w:sz w:val="30"/>
          <w:szCs w:val="30"/>
        </w:rPr>
        <w:t>一般公共服务（类）财政事务（款）事业运行（项）：反映事业单位的基本支出，不包括行政单位（包括实行公务员管理的事业单位）后勤服务中心、医务室等附属事业单位。</w:t>
      </w:r>
    </w:p>
    <w:p w14:paraId="2DD2C0AB">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11. </w:t>
      </w:r>
      <w:r>
        <w:rPr>
          <w:rFonts w:hint="eastAsia" w:ascii="仿宋" w:hAnsi="仿宋" w:eastAsia="仿宋" w:cs="仿宋"/>
          <w:color w:val="000000"/>
          <w:kern w:val="0"/>
          <w:sz w:val="30"/>
          <w:szCs w:val="30"/>
        </w:rPr>
        <w:t>一般公共服务（类）财政事务（款）其他财政事务支出（项）：反映其他财政事务方面的支出。</w:t>
      </w:r>
    </w:p>
    <w:p w14:paraId="600811EC">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12</w:t>
      </w:r>
      <w:r>
        <w:rPr>
          <w:rFonts w:hint="eastAsia" w:ascii="仿宋" w:hAnsi="仿宋" w:eastAsia="仿宋" w:cs="仿宋"/>
          <w:color w:val="000000"/>
          <w:kern w:val="0"/>
          <w:sz w:val="30"/>
          <w:szCs w:val="30"/>
        </w:rPr>
        <w:t>．教育支出（类）其他教育支出（款）其他教育支出（项）：反映其他用于教育方面的支出。</w:t>
      </w:r>
    </w:p>
    <w:p w14:paraId="1524D76F">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13. </w:t>
      </w:r>
      <w:r>
        <w:rPr>
          <w:rFonts w:hint="eastAsia" w:ascii="仿宋" w:hAnsi="仿宋" w:eastAsia="仿宋" w:cs="仿宋"/>
          <w:color w:val="000000"/>
          <w:kern w:val="0"/>
          <w:sz w:val="30"/>
          <w:szCs w:val="30"/>
        </w:rPr>
        <w:t>社会保障和就业（类）行政事业单位离退休（款）归口管理的行政单位离退休（项）：反映实行归口管理的行政单位（包括实行公务员管理的事业单位）开支的离退休经费。</w:t>
      </w:r>
    </w:p>
    <w:p w14:paraId="44D5C352">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14. </w:t>
      </w:r>
      <w:r>
        <w:rPr>
          <w:rFonts w:hint="eastAsia" w:ascii="仿宋" w:hAnsi="仿宋" w:eastAsia="仿宋" w:cs="仿宋"/>
          <w:color w:val="000000"/>
          <w:kern w:val="0"/>
          <w:sz w:val="30"/>
          <w:szCs w:val="30"/>
        </w:rPr>
        <w:t>社会保障和就业（类）行政事业单位离退休（款）机关事业单位基本养老保险缴费支出（项）：反映机关事业单位实施养老保险制度由单位缴纳的基本养老保险费支出。</w:t>
      </w:r>
    </w:p>
    <w:p w14:paraId="2E2350B3">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15.</w:t>
      </w:r>
      <w:r>
        <w:rPr>
          <w:rFonts w:hint="eastAsia" w:ascii="仿宋" w:hAnsi="仿宋" w:eastAsia="仿宋" w:cs="仿宋"/>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14:paraId="433434F9">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16.</w:t>
      </w:r>
      <w:r>
        <w:rPr>
          <w:rFonts w:hint="eastAsia" w:ascii="仿宋" w:hAnsi="仿宋" w:eastAsia="仿宋" w:cs="仿宋"/>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14:paraId="193BF4DA">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17.</w:t>
      </w:r>
      <w:r>
        <w:rPr>
          <w:rFonts w:hint="eastAsia" w:ascii="仿宋" w:hAnsi="仿宋" w:eastAsia="仿宋" w:cs="仿宋"/>
          <w:color w:val="000000"/>
          <w:kern w:val="0"/>
          <w:sz w:val="30"/>
          <w:szCs w:val="30"/>
        </w:rPr>
        <w:t>住房保障（类）住房改革（款）住房公积金（项）：反映行政事业单位按人力资源和社会保障部、财政部规定的基本工资和津贴补贴以及规定比例为职工缴纳的住房公积金。</w:t>
      </w:r>
    </w:p>
    <w:p w14:paraId="7413A4DB">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18.</w:t>
      </w:r>
      <w:r>
        <w:rPr>
          <w:rFonts w:hint="eastAsia" w:ascii="仿宋" w:hAnsi="仿宋" w:eastAsia="仿宋" w:cs="仿宋"/>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14:paraId="25FDC0BA">
      <w:pPr>
        <w:widowControl/>
        <w:spacing w:line="330" w:lineRule="atLeast"/>
        <w:ind w:firstLine="600" w:firstLineChars="200"/>
        <w:jc w:val="left"/>
        <w:rPr>
          <w:rFonts w:ascii="仿宋" w:hAnsi="仿宋" w:eastAsia="仿宋" w:cs="仿宋"/>
          <w:color w:val="000000"/>
          <w:kern w:val="0"/>
          <w:sz w:val="30"/>
          <w:szCs w:val="30"/>
        </w:rPr>
      </w:pPr>
    </w:p>
    <w:p w14:paraId="03D8BF39">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                                 2019</w:t>
      </w:r>
      <w:r>
        <w:rPr>
          <w:rFonts w:hint="eastAsia" w:ascii="仿宋" w:hAnsi="仿宋" w:eastAsia="仿宋" w:cs="仿宋"/>
          <w:color w:val="000000"/>
          <w:kern w:val="0"/>
          <w:sz w:val="30"/>
          <w:szCs w:val="30"/>
        </w:rPr>
        <w:t>年</w:t>
      </w: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月</w:t>
      </w: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日</w:t>
      </w:r>
    </w:p>
    <w:p w14:paraId="31D0DAD5">
      <w:pPr>
        <w:widowControl/>
        <w:spacing w:line="330" w:lineRule="atLeast"/>
        <w:ind w:firstLine="600" w:firstLineChars="200"/>
        <w:jc w:val="left"/>
        <w:rPr>
          <w:rFonts w:ascii="仿宋" w:hAnsi="仿宋" w:eastAsia="仿宋" w:cs="仿宋"/>
          <w:color w:val="000000"/>
          <w:kern w:val="0"/>
          <w:sz w:val="30"/>
          <w:szCs w:val="30"/>
        </w:rPr>
      </w:pPr>
    </w:p>
    <w:sectPr>
      <w:pgSz w:w="11906" w:h="16838"/>
      <w:pgMar w:top="1531"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Arial Unicode MS">
    <w:altName w:val="Arial"/>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NotTrackMoves/>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01060"/>
    <w:rsid w:val="000130C2"/>
    <w:rsid w:val="00022624"/>
    <w:rsid w:val="00072C6A"/>
    <w:rsid w:val="000A55C1"/>
    <w:rsid w:val="00101BE5"/>
    <w:rsid w:val="00104AD4"/>
    <w:rsid w:val="0010550E"/>
    <w:rsid w:val="00142BAE"/>
    <w:rsid w:val="00164A2E"/>
    <w:rsid w:val="00165857"/>
    <w:rsid w:val="0017573B"/>
    <w:rsid w:val="00187190"/>
    <w:rsid w:val="001961A4"/>
    <w:rsid w:val="001B7DE4"/>
    <w:rsid w:val="001D52E1"/>
    <w:rsid w:val="001E3E93"/>
    <w:rsid w:val="00264775"/>
    <w:rsid w:val="00265F8B"/>
    <w:rsid w:val="00273B8C"/>
    <w:rsid w:val="002E541F"/>
    <w:rsid w:val="002F6B66"/>
    <w:rsid w:val="003003AA"/>
    <w:rsid w:val="00330693"/>
    <w:rsid w:val="00342DA2"/>
    <w:rsid w:val="003B50ED"/>
    <w:rsid w:val="003C65CD"/>
    <w:rsid w:val="003E61DA"/>
    <w:rsid w:val="003F2AA1"/>
    <w:rsid w:val="003F4DFF"/>
    <w:rsid w:val="004221E9"/>
    <w:rsid w:val="004B7964"/>
    <w:rsid w:val="00580A8D"/>
    <w:rsid w:val="00594FB5"/>
    <w:rsid w:val="005A04CC"/>
    <w:rsid w:val="005B2576"/>
    <w:rsid w:val="005F4DCC"/>
    <w:rsid w:val="00606FC2"/>
    <w:rsid w:val="00614500"/>
    <w:rsid w:val="00632769"/>
    <w:rsid w:val="006412CA"/>
    <w:rsid w:val="00647AAD"/>
    <w:rsid w:val="006541E5"/>
    <w:rsid w:val="006A0466"/>
    <w:rsid w:val="00753345"/>
    <w:rsid w:val="00753F26"/>
    <w:rsid w:val="00753F2F"/>
    <w:rsid w:val="00755C7B"/>
    <w:rsid w:val="007805EB"/>
    <w:rsid w:val="00793572"/>
    <w:rsid w:val="007B12D0"/>
    <w:rsid w:val="007C5E3C"/>
    <w:rsid w:val="007F23D9"/>
    <w:rsid w:val="008207A6"/>
    <w:rsid w:val="00826E6F"/>
    <w:rsid w:val="008620BC"/>
    <w:rsid w:val="008641D1"/>
    <w:rsid w:val="008B01B8"/>
    <w:rsid w:val="008D6429"/>
    <w:rsid w:val="009244A6"/>
    <w:rsid w:val="00941B10"/>
    <w:rsid w:val="00961681"/>
    <w:rsid w:val="009652AA"/>
    <w:rsid w:val="009848F0"/>
    <w:rsid w:val="009D276E"/>
    <w:rsid w:val="009F1015"/>
    <w:rsid w:val="009F229D"/>
    <w:rsid w:val="00A12672"/>
    <w:rsid w:val="00A14148"/>
    <w:rsid w:val="00A150E4"/>
    <w:rsid w:val="00A26A44"/>
    <w:rsid w:val="00A377FD"/>
    <w:rsid w:val="00A5549A"/>
    <w:rsid w:val="00A70656"/>
    <w:rsid w:val="00A7639E"/>
    <w:rsid w:val="00A91AE0"/>
    <w:rsid w:val="00A924A6"/>
    <w:rsid w:val="00B217F1"/>
    <w:rsid w:val="00B40E6C"/>
    <w:rsid w:val="00B87AAE"/>
    <w:rsid w:val="00C052C0"/>
    <w:rsid w:val="00C67479"/>
    <w:rsid w:val="00CF43DA"/>
    <w:rsid w:val="00D10236"/>
    <w:rsid w:val="00D176CA"/>
    <w:rsid w:val="00D400F0"/>
    <w:rsid w:val="00D82E50"/>
    <w:rsid w:val="00DC1136"/>
    <w:rsid w:val="00DD605A"/>
    <w:rsid w:val="00DD67CE"/>
    <w:rsid w:val="00DF2079"/>
    <w:rsid w:val="00E160F9"/>
    <w:rsid w:val="00E41737"/>
    <w:rsid w:val="00E679E1"/>
    <w:rsid w:val="00E804EF"/>
    <w:rsid w:val="00EA15E7"/>
    <w:rsid w:val="00EB6E55"/>
    <w:rsid w:val="00EE134B"/>
    <w:rsid w:val="00F01060"/>
    <w:rsid w:val="00F251AC"/>
    <w:rsid w:val="00F470B1"/>
    <w:rsid w:val="00F713C4"/>
    <w:rsid w:val="00F76F83"/>
    <w:rsid w:val="00F925DF"/>
    <w:rsid w:val="00F94B86"/>
    <w:rsid w:val="00FC5228"/>
    <w:rsid w:val="00FD042E"/>
    <w:rsid w:val="00FD7251"/>
    <w:rsid w:val="00FE3024"/>
    <w:rsid w:val="16400A17"/>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qFormat/>
    <w:uiPriority w:val="99"/>
    <w:pPr>
      <w:tabs>
        <w:tab w:val="center" w:pos="4153"/>
        <w:tab w:val="right" w:pos="8306"/>
      </w:tabs>
      <w:snapToGrid w:val="0"/>
      <w:jc w:val="left"/>
    </w:pPr>
    <w:rPr>
      <w:sz w:val="18"/>
      <w:szCs w:val="18"/>
    </w:rPr>
  </w:style>
  <w:style w:type="paragraph" w:styleId="3">
    <w:name w:val="header"/>
    <w:basedOn w:val="1"/>
    <w:link w:val="6"/>
    <w:semiHidden/>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locked/>
    <w:uiPriority w:val="99"/>
    <w:rPr>
      <w:rFonts w:ascii="Times New Roman" w:hAnsi="Times New Roman" w:eastAsia="宋体" w:cs="Times New Roman"/>
      <w:sz w:val="18"/>
      <w:szCs w:val="18"/>
    </w:rPr>
  </w:style>
  <w:style w:type="character" w:customStyle="1" w:styleId="7">
    <w:name w:val="页脚 Char"/>
    <w:basedOn w:val="5"/>
    <w:link w:val="2"/>
    <w:semiHidden/>
    <w:locked/>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6</Pages>
  <Words>2698</Words>
  <Characters>2767</Characters>
  <Lines>21</Lines>
  <Paragraphs>6</Paragraphs>
  <TotalTime>48</TotalTime>
  <ScaleCrop>false</ScaleCrop>
  <LinksUpToDate>false</LinksUpToDate>
  <CharactersWithSpaces>3036</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2018-04-27T03:07:00Z</dcterms:created>
  <dc:creator>Custmor</dc:creator>
  <cp:lastModifiedBy>凉拌明玉子</cp:lastModifiedBy>
  <cp:lastPrinted>2018-04-27T03:41:00Z</cp:lastPrinted>
  <dcterms:modified xsi:type="dcterms:W3CDTF">2025-12-18T06:48:33Z</dcterms:modified>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eyJoZGlkIjoiNzMzNGFhYTQwZDVjNjVmMDFlMTAxYjIwOTljNDhhZWQiLCJ1c2VySWQiOiIyMDEzOTMzNTkifQ==</vt:lpwstr>
  </property>
  <property fmtid="{D5CDD505-2E9C-101B-9397-08002B2CF9AE}" pid="3" name="KSOProductBuildVer">
    <vt:lpwstr>2052-12.1.0.24034</vt:lpwstr>
  </property>
  <property fmtid="{D5CDD505-2E9C-101B-9397-08002B2CF9AE}" pid="4" name="ICV">
    <vt:lpwstr>9FC8E61E46244E1CB53882067AC1CC04_12</vt:lpwstr>
  </property>
</Properties>
</file>