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188CC7">
      <w:pPr>
        <w:spacing w:line="600" w:lineRule="exact"/>
        <w:rPr>
          <w:rFonts w:ascii="仿宋_GB2312" w:eastAsia="仿宋_GB2312"/>
          <w:sz w:val="32"/>
          <w:szCs w:val="32"/>
        </w:rPr>
      </w:pPr>
      <w:bookmarkStart w:id="0" w:name="_GoBack"/>
      <w:bookmarkEnd w:id="0"/>
    </w:p>
    <w:p w14:paraId="0DAE6561">
      <w:pPr>
        <w:widowControl/>
        <w:spacing w:line="330" w:lineRule="atLeast"/>
        <w:jc w:val="center"/>
        <w:rPr>
          <w:rFonts w:ascii="仿宋" w:hAnsi="仿宋" w:eastAsia="仿宋"/>
          <w:b/>
          <w:bCs/>
          <w:sz w:val="30"/>
          <w:szCs w:val="30"/>
        </w:rPr>
      </w:pPr>
      <w:r>
        <w:rPr>
          <w:rFonts w:hint="eastAsia" w:ascii="仿宋" w:hAnsi="仿宋" w:eastAsia="仿宋" w:cs="仿宋"/>
          <w:b/>
          <w:bCs/>
          <w:sz w:val="30"/>
          <w:szCs w:val="30"/>
        </w:rPr>
        <w:t>高新区住房保障中心</w:t>
      </w:r>
      <w:r>
        <w:rPr>
          <w:rFonts w:ascii="仿宋" w:hAnsi="仿宋" w:eastAsia="仿宋" w:cs="仿宋"/>
          <w:b/>
          <w:bCs/>
          <w:color w:val="000000"/>
          <w:kern w:val="0"/>
          <w:sz w:val="30"/>
          <w:szCs w:val="30"/>
        </w:rPr>
        <w:t>201</w:t>
      </w:r>
      <w:r>
        <w:rPr>
          <w:rFonts w:hint="eastAsia" w:ascii="仿宋" w:hAnsi="仿宋" w:eastAsia="仿宋" w:cs="仿宋"/>
          <w:b/>
          <w:bCs/>
          <w:color w:val="000000"/>
          <w:kern w:val="0"/>
          <w:sz w:val="30"/>
          <w:szCs w:val="30"/>
        </w:rPr>
        <w:t>9年部门预算</w:t>
      </w:r>
    </w:p>
    <w:p w14:paraId="11C55BA6">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3A45AAF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 部门概况</w:t>
      </w:r>
    </w:p>
    <w:p w14:paraId="2CA7D83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082F0E4E">
      <w:pPr>
        <w:spacing w:line="330" w:lineRule="atLeast"/>
        <w:ind w:firstLine="600" w:firstLineChars="200"/>
        <w:rPr>
          <w:rFonts w:ascii="仿宋" w:hAnsi="仿宋" w:eastAsia="仿宋"/>
          <w:sz w:val="30"/>
          <w:szCs w:val="30"/>
        </w:rPr>
      </w:pPr>
      <w:r>
        <w:rPr>
          <w:rFonts w:hint="eastAsia" w:ascii="仿宋" w:hAnsi="仿宋" w:eastAsia="仿宋"/>
          <w:sz w:val="30"/>
          <w:szCs w:val="30"/>
        </w:rPr>
        <w:t>1、贯彻执行国家、省、市有关住房保障工作的方针、政策；</w:t>
      </w:r>
    </w:p>
    <w:p w14:paraId="2CCB19E2">
      <w:pPr>
        <w:spacing w:line="330" w:lineRule="atLeast"/>
        <w:ind w:firstLine="600" w:firstLineChars="200"/>
        <w:rPr>
          <w:rFonts w:ascii="仿宋" w:hAnsi="仿宋" w:eastAsia="仿宋"/>
          <w:sz w:val="30"/>
          <w:szCs w:val="30"/>
        </w:rPr>
      </w:pPr>
      <w:r>
        <w:rPr>
          <w:rFonts w:hint="eastAsia" w:ascii="仿宋" w:hAnsi="仿宋" w:eastAsia="仿宋"/>
          <w:sz w:val="30"/>
          <w:szCs w:val="30"/>
        </w:rPr>
        <w:t>2、研究探索建立健全园区住房保障体系；制定园区保障性住房中长期发展规划及年度计划；</w:t>
      </w:r>
    </w:p>
    <w:p w14:paraId="4C2D5BDD">
      <w:pPr>
        <w:spacing w:line="330" w:lineRule="atLeast"/>
        <w:ind w:firstLine="600" w:firstLineChars="200"/>
        <w:rPr>
          <w:rFonts w:ascii="仿宋" w:hAnsi="仿宋" w:eastAsia="仿宋"/>
          <w:sz w:val="30"/>
          <w:szCs w:val="30"/>
        </w:rPr>
      </w:pPr>
      <w:r>
        <w:rPr>
          <w:rFonts w:hint="eastAsia" w:ascii="仿宋" w:hAnsi="仿宋" w:eastAsia="仿宋"/>
          <w:sz w:val="30"/>
          <w:szCs w:val="30"/>
        </w:rPr>
        <w:t>3、负责园区公共租赁住房和限价房建设管理工作，会同园区有关部门进行公共租赁住房和限价房规划选址和土地储备；协调沟通有关部门加快公共租赁住房和限价房前期手续办理；</w:t>
      </w:r>
    </w:p>
    <w:p w14:paraId="38D7EBA3">
      <w:pPr>
        <w:spacing w:line="330" w:lineRule="atLeast"/>
        <w:ind w:firstLine="600" w:firstLineChars="200"/>
        <w:rPr>
          <w:rFonts w:ascii="仿宋" w:hAnsi="仿宋" w:eastAsia="仿宋"/>
          <w:sz w:val="30"/>
          <w:szCs w:val="30"/>
        </w:rPr>
      </w:pPr>
      <w:r>
        <w:rPr>
          <w:rFonts w:hint="eastAsia" w:ascii="仿宋" w:hAnsi="仿宋" w:eastAsia="仿宋"/>
          <w:sz w:val="30"/>
          <w:szCs w:val="30"/>
        </w:rPr>
        <w:t>4、负责会同园区有关部门做好限价房销售管理具体工作，会同有关单位和部门对申购人员进行受理、审核和公示；会同园区物价部门审核限价房销售价格；</w:t>
      </w:r>
    </w:p>
    <w:p w14:paraId="7E1A94A3">
      <w:pPr>
        <w:spacing w:line="330" w:lineRule="atLeast"/>
        <w:ind w:firstLine="600" w:firstLineChars="200"/>
        <w:rPr>
          <w:rFonts w:ascii="仿宋" w:hAnsi="仿宋" w:eastAsia="仿宋"/>
          <w:sz w:val="30"/>
          <w:szCs w:val="30"/>
        </w:rPr>
      </w:pPr>
      <w:r>
        <w:rPr>
          <w:rFonts w:hint="eastAsia" w:ascii="仿宋" w:hAnsi="仿宋" w:eastAsia="仿宋"/>
          <w:sz w:val="30"/>
          <w:szCs w:val="30"/>
        </w:rPr>
        <w:t>5、负责园区公共租赁住房和限价房的管理和分配工作；</w:t>
      </w:r>
    </w:p>
    <w:p w14:paraId="54AE019B">
      <w:pPr>
        <w:spacing w:line="330" w:lineRule="atLeast"/>
        <w:ind w:firstLine="600" w:firstLineChars="200"/>
        <w:rPr>
          <w:rFonts w:ascii="仿宋" w:hAnsi="仿宋" w:eastAsia="仿宋"/>
          <w:sz w:val="30"/>
          <w:szCs w:val="30"/>
        </w:rPr>
      </w:pPr>
      <w:r>
        <w:rPr>
          <w:rFonts w:hint="eastAsia" w:ascii="仿宋" w:hAnsi="仿宋" w:eastAsia="仿宋"/>
          <w:sz w:val="30"/>
          <w:szCs w:val="30"/>
        </w:rPr>
        <w:t>6、负责限价房回购管理工作，建立售后监管机制；</w:t>
      </w:r>
    </w:p>
    <w:p w14:paraId="286622C0">
      <w:pPr>
        <w:spacing w:line="330" w:lineRule="atLeast"/>
        <w:ind w:firstLine="600" w:firstLineChars="200"/>
        <w:rPr>
          <w:rFonts w:ascii="仿宋" w:hAnsi="仿宋" w:eastAsia="仿宋"/>
          <w:sz w:val="30"/>
          <w:szCs w:val="30"/>
        </w:rPr>
      </w:pPr>
      <w:r>
        <w:rPr>
          <w:rFonts w:hint="eastAsia" w:ascii="仿宋" w:hAnsi="仿宋" w:eastAsia="仿宋"/>
          <w:sz w:val="30"/>
          <w:szCs w:val="30"/>
        </w:rPr>
        <w:t>7、负责园区经济适用住房货币补贴管理具体工作，组织有关单位和部门对申购家庭进行受理、审核和公示，核定申购经济适用住房货币补贴对象资格，发放货币补贴；</w:t>
      </w:r>
    </w:p>
    <w:p w14:paraId="54C29076">
      <w:pPr>
        <w:spacing w:line="330" w:lineRule="atLeast"/>
        <w:ind w:firstLine="600" w:firstLineChars="200"/>
        <w:rPr>
          <w:rFonts w:ascii="仿宋" w:hAnsi="仿宋" w:eastAsia="仿宋"/>
          <w:sz w:val="30"/>
          <w:szCs w:val="30"/>
        </w:rPr>
      </w:pPr>
      <w:r>
        <w:rPr>
          <w:rFonts w:hint="eastAsia" w:ascii="仿宋" w:hAnsi="仿宋" w:eastAsia="仿宋"/>
          <w:sz w:val="30"/>
          <w:szCs w:val="30"/>
        </w:rPr>
        <w:t>8、负责园区廉租住房、经济适用住房、公共租赁住房和限价商品房的计划统计报表、档案管理工作；</w:t>
      </w:r>
    </w:p>
    <w:p w14:paraId="326C16C4">
      <w:pPr>
        <w:spacing w:line="330" w:lineRule="atLeast"/>
        <w:ind w:firstLine="600" w:firstLineChars="200"/>
        <w:rPr>
          <w:rFonts w:ascii="仿宋" w:hAnsi="仿宋" w:eastAsia="仿宋"/>
          <w:sz w:val="30"/>
          <w:szCs w:val="30"/>
        </w:rPr>
      </w:pPr>
      <w:r>
        <w:rPr>
          <w:rFonts w:hint="eastAsia" w:ascii="仿宋" w:hAnsi="仿宋" w:eastAsia="仿宋"/>
          <w:sz w:val="30"/>
          <w:szCs w:val="30"/>
        </w:rPr>
        <w:t>9、负责建立住房保障工作相关信息系统及信息库；</w:t>
      </w:r>
    </w:p>
    <w:p w14:paraId="4395A7F8">
      <w:pPr>
        <w:spacing w:line="330" w:lineRule="atLeast"/>
        <w:ind w:firstLine="600" w:firstLineChars="200"/>
        <w:rPr>
          <w:rFonts w:ascii="仿宋" w:hAnsi="仿宋" w:eastAsia="仿宋"/>
          <w:sz w:val="30"/>
          <w:szCs w:val="30"/>
        </w:rPr>
      </w:pPr>
      <w:r>
        <w:rPr>
          <w:rFonts w:hint="eastAsia" w:ascii="仿宋" w:hAnsi="仿宋" w:eastAsia="仿宋"/>
          <w:sz w:val="30"/>
          <w:szCs w:val="30"/>
        </w:rPr>
        <w:t>10、对社区、两街道保障性住房工作进行指导；</w:t>
      </w:r>
    </w:p>
    <w:p w14:paraId="1D520B0D">
      <w:pPr>
        <w:spacing w:line="330" w:lineRule="atLeast"/>
        <w:ind w:firstLine="600" w:firstLineChars="200"/>
        <w:rPr>
          <w:rFonts w:ascii="仿宋_GB2312" w:eastAsia="仿宋_GB2312"/>
          <w:sz w:val="28"/>
          <w:szCs w:val="28"/>
        </w:rPr>
      </w:pPr>
      <w:r>
        <w:rPr>
          <w:rFonts w:hint="eastAsia" w:ascii="仿宋" w:hAnsi="仿宋" w:eastAsia="仿宋"/>
          <w:sz w:val="30"/>
          <w:szCs w:val="30"/>
        </w:rPr>
        <w:t>11、完成上级交办的其它工作，配合其它部门做好有关工作。</w:t>
      </w:r>
    </w:p>
    <w:p w14:paraId="0C52FB5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58E7394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2019年住房保障中心部门预算为本部综合收支计划，无二级单位。</w:t>
      </w:r>
    </w:p>
    <w:p w14:paraId="10386CE6">
      <w:pPr>
        <w:widowControl/>
        <w:spacing w:line="330" w:lineRule="atLeast"/>
        <w:ind w:firstLine="600" w:firstLineChars="200"/>
        <w:jc w:val="left"/>
        <w:rPr>
          <w:rFonts w:ascii="仿宋" w:hAnsi="仿宋" w:eastAsia="仿宋" w:cs="仿宋"/>
          <w:color w:val="000000"/>
          <w:kern w:val="0"/>
          <w:sz w:val="30"/>
          <w:szCs w:val="30"/>
        </w:rPr>
      </w:pPr>
    </w:p>
    <w:p w14:paraId="198FF6D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 部门预算情况说明</w:t>
      </w:r>
    </w:p>
    <w:p w14:paraId="51F967F7">
      <w:pPr>
        <w:widowControl/>
        <w:spacing w:line="330" w:lineRule="atLeast"/>
        <w:ind w:firstLine="600" w:firstLineChars="200"/>
        <w:jc w:val="left"/>
        <w:rPr>
          <w:rFonts w:ascii="仿宋" w:hAnsi="仿宋" w:eastAsia="仿宋" w:cs="Verdana"/>
          <w:color w:val="000000"/>
          <w:sz w:val="30"/>
          <w:szCs w:val="30"/>
        </w:rPr>
      </w:pPr>
      <w:r>
        <w:rPr>
          <w:rFonts w:ascii="仿宋" w:hAnsi="仿宋" w:eastAsia="仿宋" w:cs="Verdana"/>
          <w:color w:val="000000"/>
          <w:kern w:val="0"/>
          <w:sz w:val="30"/>
          <w:szCs w:val="30"/>
        </w:rPr>
        <w:t>一、总体说明</w:t>
      </w:r>
    </w:p>
    <w:p w14:paraId="3D9394FE">
      <w:pPr>
        <w:widowControl/>
        <w:spacing w:line="330" w:lineRule="atLeast"/>
        <w:ind w:firstLine="600" w:firstLineChars="200"/>
        <w:jc w:val="left"/>
        <w:rPr>
          <w:rFonts w:ascii="仿宋" w:hAnsi="仿宋" w:eastAsia="仿宋" w:cs="Verdana"/>
          <w:color w:val="000000"/>
          <w:sz w:val="30"/>
          <w:szCs w:val="30"/>
        </w:rPr>
      </w:pPr>
      <w:r>
        <w:rPr>
          <w:rFonts w:ascii="仿宋" w:hAnsi="仿宋" w:eastAsia="仿宋" w:cs="Verdana"/>
          <w:color w:val="000000"/>
          <w:kern w:val="0"/>
          <w:sz w:val="30"/>
          <w:szCs w:val="30"/>
        </w:rPr>
        <w:t>按照综合预算的原则，</w:t>
      </w:r>
      <w:r>
        <w:rPr>
          <w:rFonts w:hint="eastAsia" w:ascii="仿宋" w:hAnsi="仿宋" w:eastAsia="仿宋" w:cs="Verdana"/>
          <w:color w:val="000000"/>
          <w:kern w:val="0"/>
          <w:sz w:val="30"/>
          <w:szCs w:val="30"/>
        </w:rPr>
        <w:t>本部门</w:t>
      </w:r>
      <w:r>
        <w:rPr>
          <w:rFonts w:ascii="仿宋" w:hAnsi="仿宋" w:eastAsia="仿宋" w:cs="Verdana"/>
          <w:color w:val="000000"/>
          <w:kern w:val="0"/>
          <w:sz w:val="30"/>
          <w:szCs w:val="30"/>
        </w:rPr>
        <w:t>所有收入和支出均纳入部门预算管理</w:t>
      </w:r>
      <w:r>
        <w:rPr>
          <w:rFonts w:hint="eastAsia" w:ascii="仿宋" w:hAnsi="仿宋" w:eastAsia="仿宋" w:cs="Verdana"/>
          <w:color w:val="000000"/>
          <w:kern w:val="0"/>
          <w:sz w:val="30"/>
          <w:szCs w:val="30"/>
        </w:rPr>
        <w:t>，无下级预算单位</w:t>
      </w:r>
      <w:r>
        <w:rPr>
          <w:rFonts w:ascii="仿宋" w:hAnsi="仿宋" w:eastAsia="仿宋" w:cs="Verdana"/>
          <w:color w:val="000000"/>
          <w:kern w:val="0"/>
          <w:sz w:val="30"/>
          <w:szCs w:val="30"/>
        </w:rPr>
        <w:t>。收入包括：财政拨款收入</w:t>
      </w:r>
      <w:r>
        <w:rPr>
          <w:rFonts w:hint="eastAsia" w:ascii="仿宋" w:hAnsi="仿宋" w:eastAsia="仿宋" w:cs="Verdana"/>
          <w:color w:val="000000"/>
          <w:kern w:val="0"/>
          <w:sz w:val="30"/>
          <w:szCs w:val="30"/>
        </w:rPr>
        <w:t>106.1</w:t>
      </w:r>
      <w:r>
        <w:rPr>
          <w:rFonts w:ascii="仿宋" w:hAnsi="仿宋" w:eastAsia="仿宋" w:cs="Verdana"/>
          <w:color w:val="000000"/>
          <w:kern w:val="0"/>
          <w:sz w:val="30"/>
          <w:szCs w:val="30"/>
        </w:rPr>
        <w:t>万元；支出包括：</w:t>
      </w:r>
      <w:r>
        <w:rPr>
          <w:rFonts w:hint="eastAsia" w:ascii="仿宋" w:hAnsi="仿宋" w:eastAsia="仿宋"/>
          <w:sz w:val="30"/>
          <w:szCs w:val="30"/>
        </w:rPr>
        <w:t>工资福利和对个人家庭补助支出91.1万元，商品和服务支出15万元。</w:t>
      </w:r>
      <w:r>
        <w:rPr>
          <w:rFonts w:ascii="仿宋" w:hAnsi="仿宋" w:eastAsia="仿宋" w:cs="Verdana"/>
          <w:color w:val="000000"/>
          <w:kern w:val="0"/>
          <w:sz w:val="30"/>
          <w:szCs w:val="30"/>
        </w:rPr>
        <w:t>全部为一般公共预算收支，无政府性基金预算收支。</w:t>
      </w:r>
      <w:r>
        <w:rPr>
          <w:rFonts w:hint="eastAsia" w:ascii="仿宋" w:hAnsi="仿宋" w:eastAsia="仿宋" w:cs="Verdana"/>
          <w:color w:val="000000"/>
          <w:kern w:val="0"/>
          <w:sz w:val="30"/>
          <w:szCs w:val="30"/>
        </w:rPr>
        <w:t>比2018年预算数增加5.2万元，其中</w:t>
      </w:r>
      <w:r>
        <w:rPr>
          <w:rFonts w:hint="eastAsia" w:ascii="仿宋" w:hAnsi="仿宋" w:eastAsia="仿宋"/>
          <w:sz w:val="30"/>
          <w:szCs w:val="30"/>
        </w:rPr>
        <w:t>工资福利和对个人家庭补助支出增加1.7万元，商品和服务支出增加3.5万元。</w:t>
      </w:r>
    </w:p>
    <w:p w14:paraId="3B9CF5FF">
      <w:pPr>
        <w:widowControl/>
        <w:spacing w:line="330" w:lineRule="atLeast"/>
        <w:ind w:firstLine="600" w:firstLineChars="200"/>
        <w:jc w:val="left"/>
        <w:rPr>
          <w:rFonts w:ascii="仿宋" w:hAnsi="仿宋" w:eastAsia="仿宋" w:cs="Verdana"/>
          <w:color w:val="000000"/>
          <w:sz w:val="30"/>
          <w:szCs w:val="30"/>
        </w:rPr>
      </w:pPr>
      <w:r>
        <w:rPr>
          <w:rFonts w:ascii="仿宋" w:hAnsi="仿宋" w:eastAsia="仿宋" w:cs="Verdana"/>
          <w:color w:val="000000"/>
          <w:kern w:val="0"/>
          <w:sz w:val="30"/>
          <w:szCs w:val="30"/>
        </w:rPr>
        <w:t>二</w:t>
      </w:r>
      <w:r>
        <w:rPr>
          <w:rFonts w:hint="eastAsia" w:ascii="仿宋" w:hAnsi="仿宋" w:eastAsia="仿宋" w:cs="Verdana"/>
          <w:color w:val="000000"/>
          <w:kern w:val="0"/>
          <w:sz w:val="30"/>
          <w:szCs w:val="30"/>
        </w:rPr>
        <w:t>、</w:t>
      </w:r>
      <w:r>
        <w:rPr>
          <w:rFonts w:ascii="仿宋" w:hAnsi="仿宋" w:eastAsia="仿宋" w:cs="Verdana"/>
          <w:color w:val="000000"/>
          <w:kern w:val="0"/>
          <w:sz w:val="30"/>
          <w:szCs w:val="30"/>
        </w:rPr>
        <w:t>“三公”经费预算情况说明</w:t>
      </w:r>
    </w:p>
    <w:p w14:paraId="602E2253">
      <w:pPr>
        <w:spacing w:line="600" w:lineRule="exact"/>
        <w:ind w:firstLine="600" w:firstLineChars="200"/>
        <w:rPr>
          <w:rFonts w:ascii="仿宋" w:hAnsi="仿宋" w:eastAsia="仿宋"/>
          <w:sz w:val="30"/>
          <w:szCs w:val="30"/>
        </w:rPr>
      </w:pPr>
      <w:r>
        <w:rPr>
          <w:rFonts w:hint="eastAsia" w:ascii="仿宋" w:hAnsi="仿宋" w:eastAsia="仿宋"/>
          <w:sz w:val="30"/>
          <w:szCs w:val="30"/>
        </w:rPr>
        <w:t>无“三公”经费支出，与去年相同。</w:t>
      </w:r>
      <w:r>
        <w:rPr>
          <w:rFonts w:hint="eastAsia" w:ascii="仿宋" w:hAnsi="仿宋" w:eastAsia="仿宋" w:cs="Verdana"/>
          <w:color w:val="000000"/>
          <w:kern w:val="0"/>
          <w:sz w:val="30"/>
          <w:szCs w:val="30"/>
        </w:rPr>
        <w:t>主要是按照中央及市委、市政府关于厉行节约、改进工作作风、密切联系群众</w:t>
      </w:r>
      <w:r>
        <w:rPr>
          <w:rFonts w:hint="eastAsia" w:ascii="仿宋" w:hAnsi="仿宋" w:eastAsia="仿宋" w:cs="Verdana"/>
          <w:color w:val="000000"/>
          <w:kern w:val="0"/>
          <w:sz w:val="30"/>
          <w:szCs w:val="30"/>
          <w:lang w:eastAsia="zh-CN"/>
        </w:rPr>
        <w:t>中央八项规定</w:t>
      </w:r>
      <w:r>
        <w:rPr>
          <w:rFonts w:hint="eastAsia" w:ascii="仿宋" w:hAnsi="仿宋" w:eastAsia="仿宋" w:cs="Verdana"/>
          <w:color w:val="000000"/>
          <w:kern w:val="0"/>
          <w:sz w:val="30"/>
          <w:szCs w:val="30"/>
        </w:rPr>
        <w:t>等有关要求，严格控制“三公”经费支出。</w:t>
      </w:r>
    </w:p>
    <w:p w14:paraId="752DE54D">
      <w:pPr>
        <w:widowControl/>
        <w:spacing w:line="330" w:lineRule="atLeast"/>
        <w:ind w:firstLine="600" w:firstLineChars="200"/>
        <w:jc w:val="left"/>
        <w:rPr>
          <w:rFonts w:ascii="仿宋" w:hAnsi="仿宋" w:eastAsia="仿宋" w:cs="Verdana"/>
          <w:color w:val="000000"/>
          <w:sz w:val="30"/>
          <w:szCs w:val="30"/>
        </w:rPr>
      </w:pPr>
      <w:r>
        <w:rPr>
          <w:rFonts w:ascii="仿宋" w:hAnsi="仿宋" w:eastAsia="仿宋" w:cs="Verdana"/>
          <w:color w:val="000000"/>
          <w:kern w:val="0"/>
          <w:sz w:val="30"/>
          <w:szCs w:val="30"/>
        </w:rPr>
        <w:t>三、机关运行经费安排情况说明</w:t>
      </w:r>
    </w:p>
    <w:p w14:paraId="6305B63C">
      <w:pPr>
        <w:widowControl/>
        <w:spacing w:line="330" w:lineRule="atLeast"/>
        <w:ind w:firstLine="600" w:firstLineChars="200"/>
        <w:jc w:val="left"/>
        <w:rPr>
          <w:rFonts w:ascii="仿宋" w:hAnsi="仿宋" w:eastAsia="仿宋" w:cs="Verdana"/>
          <w:color w:val="00000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包括定额公用经费1.9万元</w:t>
      </w:r>
      <w:r>
        <w:rPr>
          <w:rFonts w:ascii="仿宋" w:hAnsi="仿宋" w:eastAsia="仿宋" w:cs="Verdana"/>
          <w:color w:val="000000"/>
          <w:kern w:val="0"/>
          <w:sz w:val="30"/>
          <w:szCs w:val="30"/>
        </w:rPr>
        <w:t>。</w:t>
      </w:r>
    </w:p>
    <w:p w14:paraId="312C193F">
      <w:pPr>
        <w:widowControl/>
        <w:spacing w:line="330" w:lineRule="atLeast"/>
        <w:ind w:firstLine="600" w:firstLineChars="200"/>
        <w:jc w:val="left"/>
        <w:rPr>
          <w:rFonts w:ascii="仿宋" w:hAnsi="仿宋" w:eastAsia="仿宋" w:cs="Verdana"/>
          <w:color w:val="000000"/>
          <w:sz w:val="30"/>
          <w:szCs w:val="30"/>
        </w:rPr>
      </w:pPr>
      <w:r>
        <w:rPr>
          <w:rFonts w:ascii="仿宋" w:hAnsi="仿宋" w:eastAsia="仿宋" w:cs="Verdana"/>
          <w:color w:val="000000"/>
          <w:kern w:val="0"/>
          <w:sz w:val="30"/>
          <w:szCs w:val="30"/>
        </w:rPr>
        <w:t>四</w:t>
      </w:r>
      <w:r>
        <w:rPr>
          <w:rFonts w:hint="eastAsia" w:ascii="仿宋" w:hAnsi="仿宋" w:eastAsia="仿宋" w:cs="Verdana"/>
          <w:color w:val="000000"/>
          <w:kern w:val="0"/>
          <w:sz w:val="30"/>
          <w:szCs w:val="30"/>
        </w:rPr>
        <w:t>、</w:t>
      </w:r>
      <w:r>
        <w:rPr>
          <w:rFonts w:ascii="仿宋" w:hAnsi="仿宋" w:eastAsia="仿宋" w:cs="Verdana"/>
          <w:color w:val="000000"/>
          <w:kern w:val="0"/>
          <w:sz w:val="30"/>
          <w:szCs w:val="30"/>
        </w:rPr>
        <w:t>政府采购情况说明</w:t>
      </w:r>
    </w:p>
    <w:p w14:paraId="15E10220">
      <w:pPr>
        <w:widowControl/>
        <w:spacing w:line="330" w:lineRule="atLeast"/>
        <w:ind w:firstLine="600" w:firstLineChars="200"/>
        <w:jc w:val="left"/>
        <w:rPr>
          <w:rFonts w:ascii="仿宋" w:hAnsi="仿宋" w:eastAsia="仿宋" w:cs="Verdana"/>
          <w:color w:val="000000"/>
          <w:sz w:val="30"/>
          <w:szCs w:val="30"/>
        </w:rPr>
      </w:pPr>
      <w:r>
        <w:rPr>
          <w:rFonts w:ascii="仿宋" w:hAnsi="仿宋" w:eastAsia="仿宋" w:cs="Verdana"/>
          <w:color w:val="000000"/>
          <w:kern w:val="0"/>
          <w:sz w:val="30"/>
          <w:szCs w:val="30"/>
        </w:rPr>
        <w:t>无政府采购事项。</w:t>
      </w:r>
    </w:p>
    <w:p w14:paraId="481C792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3371A45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2284D093">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5747BF21">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国有资产占有使用情况说明为：截至2018年12月31日，部门（单位）共有车辆0辆；单位价值50万元（含）以上通用设备0台（套）；单位价值100万元以上专用设备0台（套）。</w:t>
      </w:r>
    </w:p>
    <w:p w14:paraId="3E216FF8">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6FCD200F">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5B83AFB6">
      <w:pPr>
        <w:widowControl/>
        <w:spacing w:line="330" w:lineRule="atLeast"/>
        <w:ind w:firstLine="600" w:firstLineChars="200"/>
        <w:jc w:val="left"/>
        <w:rPr>
          <w:rFonts w:ascii="仿宋" w:hAnsi="仿宋" w:eastAsia="仿宋" w:cs="仿宋"/>
          <w:color w:val="000000"/>
          <w:kern w:val="0"/>
          <w:sz w:val="30"/>
          <w:szCs w:val="30"/>
        </w:rPr>
      </w:pPr>
    </w:p>
    <w:p w14:paraId="77BABB5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 名词解释</w:t>
      </w:r>
    </w:p>
    <w:p w14:paraId="01563C7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1.财政拨款收入：指市财政当年拨付的资金。</w:t>
      </w:r>
      <w:r>
        <w:rPr>
          <w:rFonts w:ascii="仿宋" w:hAnsi="仿宋" w:eastAsia="仿宋" w:cs="仿宋"/>
          <w:color w:val="000000"/>
          <w:kern w:val="0"/>
          <w:sz w:val="30"/>
          <w:szCs w:val="30"/>
        </w:rPr>
        <w:t xml:space="preserve"> </w:t>
      </w:r>
    </w:p>
    <w:p w14:paraId="37E9A79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2.其他收入：指除“财政拨款收入”、“财政专户拨款收入”等以外的收入，包括事业单位经营性收入、上级补助收入、附属单位上缴收入等。</w:t>
      </w:r>
    </w:p>
    <w:p w14:paraId="520EA92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3.基本支出：指为保障机构正常运转、完成日常工作任务而发生的人员支出和公用支出。</w:t>
      </w:r>
    </w:p>
    <w:p w14:paraId="796C634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4.项目支出：指在基本支出之外为完成特定行政任务和事业发展目标所发生的支出。</w:t>
      </w:r>
    </w:p>
    <w:p w14:paraId="724E90D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5.“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BA2D10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6.一般公共服务（类）财政事务（款）行政运行（项）：反映行政单位（包括实行公务员管理的事业单位）的基本支出。</w:t>
      </w:r>
    </w:p>
    <w:p w14:paraId="09FA2C4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7.一般公共服务（类）财政事务（款）一般行政管理事务（项）：反映行政单位（包括实行公务员管理的事业单位）未单独设置项级科目的其他项目支出。</w:t>
      </w:r>
    </w:p>
    <w:p w14:paraId="6FA3450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8一般公共服务（类）财政事务（款）信息化建设（项）：反映财政部门用于“金财工程”等信息化建设方面的支出。</w:t>
      </w:r>
    </w:p>
    <w:p w14:paraId="57A30B4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9.一般公共服务（类）财政事务（款）财政委托业务支出（项）：反映财政委托评审机构进行财政投资评审和委托建设银行等机构代理业务发生的支出。</w:t>
      </w:r>
    </w:p>
    <w:p w14:paraId="58C727B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10. 一般公共服务（类）财政事务（款）事业运行（项）：反映事业单位的基本支出，不包括行政单位（包括实行公务员管理的事业单位）后勤服务中心、医务室等附属事业单位。</w:t>
      </w:r>
    </w:p>
    <w:p w14:paraId="57B81EF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11. 一般公共服务（类）财政事务（款）其他财政事务支出（项）：反映其他财政事务方面的支出。</w:t>
      </w:r>
    </w:p>
    <w:p w14:paraId="3272926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12．教育支出（类）其他教育支出（款）其他教育支出（项）：反映其他用于教育方面的支出。</w:t>
      </w:r>
    </w:p>
    <w:p w14:paraId="1382FF0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13. 社会保障和就业（类）行政事业单位离退休（款）归口管理的行政单位离退休（项）：反映实行归口管理的行政单位（包括实行公务员管理的事业单位）开支的离退休经费。</w:t>
      </w:r>
    </w:p>
    <w:p w14:paraId="11E4DA4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14. 社会保障和就业（类）行政事业单位离退休（款）机关事业单位基本养老保险缴费支出（项）：反映机关事业单位实施养老保险制度由单位缴纳的基本养老保险费支出。</w:t>
      </w:r>
    </w:p>
    <w:p w14:paraId="25E25C2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15.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3D62F64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16.医疗卫生与计划生育（类）医疗保障（款）事业单位医疗（项）：反映财政部门集中安排的事业单位基本医疗保险缴费经费，未参加医疗保险的事业单位的公费医疗经费，按国家规定享受离休人员待遇人员的医疗经费。</w:t>
      </w:r>
    </w:p>
    <w:p w14:paraId="7E44E7B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17.住房保障（类）住房改革（款）住房公积金（项）：反映行政事业单位按人力资源和社会保障部、财政部规定的基本工资和津贴补贴以及规定比例为职工缴纳的住房公积金。</w:t>
      </w:r>
    </w:p>
    <w:p w14:paraId="393FBBC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18.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6E1AB46E">
      <w:pPr>
        <w:widowControl/>
        <w:spacing w:line="330" w:lineRule="atLeast"/>
        <w:ind w:firstLine="600" w:firstLineChars="200"/>
        <w:jc w:val="left"/>
        <w:rPr>
          <w:rFonts w:ascii="仿宋" w:hAnsi="仿宋" w:eastAsia="仿宋" w:cs="仿宋"/>
          <w:color w:val="000000"/>
          <w:kern w:val="0"/>
          <w:sz w:val="30"/>
          <w:szCs w:val="30"/>
        </w:rPr>
      </w:pPr>
    </w:p>
    <w:p w14:paraId="6DEA640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201</w:t>
      </w:r>
      <w:r>
        <w:rPr>
          <w:rFonts w:hint="eastAsia" w:ascii="仿宋" w:hAnsi="仿宋" w:eastAsia="仿宋" w:cs="仿宋"/>
          <w:color w:val="000000"/>
          <w:kern w:val="0"/>
          <w:sz w:val="30"/>
          <w:szCs w:val="30"/>
        </w:rPr>
        <w:t>9年</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日</w:t>
      </w:r>
    </w:p>
    <w:p w14:paraId="398D940C">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F01060"/>
    <w:rsid w:val="000130C2"/>
    <w:rsid w:val="000A55C1"/>
    <w:rsid w:val="000A735A"/>
    <w:rsid w:val="00101BE5"/>
    <w:rsid w:val="00104AD4"/>
    <w:rsid w:val="0010550E"/>
    <w:rsid w:val="00164A2E"/>
    <w:rsid w:val="00165857"/>
    <w:rsid w:val="00187190"/>
    <w:rsid w:val="001961A4"/>
    <w:rsid w:val="001E3E93"/>
    <w:rsid w:val="00264775"/>
    <w:rsid w:val="00265F8B"/>
    <w:rsid w:val="003003AA"/>
    <w:rsid w:val="00342DA2"/>
    <w:rsid w:val="00361A8B"/>
    <w:rsid w:val="00365303"/>
    <w:rsid w:val="003B50ED"/>
    <w:rsid w:val="003C65CD"/>
    <w:rsid w:val="003E61DA"/>
    <w:rsid w:val="003F2AA1"/>
    <w:rsid w:val="003F4DFF"/>
    <w:rsid w:val="004221E9"/>
    <w:rsid w:val="005534FF"/>
    <w:rsid w:val="00594FB5"/>
    <w:rsid w:val="005A04CC"/>
    <w:rsid w:val="005F4DCC"/>
    <w:rsid w:val="00614500"/>
    <w:rsid w:val="00643326"/>
    <w:rsid w:val="006541E5"/>
    <w:rsid w:val="00753345"/>
    <w:rsid w:val="00753F26"/>
    <w:rsid w:val="00755C7B"/>
    <w:rsid w:val="007805EB"/>
    <w:rsid w:val="00793572"/>
    <w:rsid w:val="007B12D0"/>
    <w:rsid w:val="007C5E3C"/>
    <w:rsid w:val="007F23D9"/>
    <w:rsid w:val="008207A6"/>
    <w:rsid w:val="00826E6F"/>
    <w:rsid w:val="008620BC"/>
    <w:rsid w:val="008641D1"/>
    <w:rsid w:val="008B01B8"/>
    <w:rsid w:val="008B0597"/>
    <w:rsid w:val="009244A6"/>
    <w:rsid w:val="00941B10"/>
    <w:rsid w:val="00961681"/>
    <w:rsid w:val="009652AA"/>
    <w:rsid w:val="009848F0"/>
    <w:rsid w:val="009F1015"/>
    <w:rsid w:val="009F229D"/>
    <w:rsid w:val="00A12672"/>
    <w:rsid w:val="00A150E4"/>
    <w:rsid w:val="00A26A44"/>
    <w:rsid w:val="00A377FD"/>
    <w:rsid w:val="00A5549A"/>
    <w:rsid w:val="00A70656"/>
    <w:rsid w:val="00A7639E"/>
    <w:rsid w:val="00A924A6"/>
    <w:rsid w:val="00B217F1"/>
    <w:rsid w:val="00B40E6C"/>
    <w:rsid w:val="00C0451A"/>
    <w:rsid w:val="00C052C0"/>
    <w:rsid w:val="00C67479"/>
    <w:rsid w:val="00CE5CE5"/>
    <w:rsid w:val="00CF43DA"/>
    <w:rsid w:val="00D10236"/>
    <w:rsid w:val="00D176CA"/>
    <w:rsid w:val="00D400F0"/>
    <w:rsid w:val="00D82E50"/>
    <w:rsid w:val="00DC1136"/>
    <w:rsid w:val="00DD605A"/>
    <w:rsid w:val="00DD67CE"/>
    <w:rsid w:val="00DF2079"/>
    <w:rsid w:val="00E160F9"/>
    <w:rsid w:val="00E679E1"/>
    <w:rsid w:val="00E804EF"/>
    <w:rsid w:val="00EA15E7"/>
    <w:rsid w:val="00EB6E55"/>
    <w:rsid w:val="00EE134B"/>
    <w:rsid w:val="00F01060"/>
    <w:rsid w:val="00F251AC"/>
    <w:rsid w:val="00F713C4"/>
    <w:rsid w:val="00F76F83"/>
    <w:rsid w:val="00F94B86"/>
    <w:rsid w:val="00FC5228"/>
    <w:rsid w:val="00FD042E"/>
    <w:rsid w:val="00FD7251"/>
    <w:rsid w:val="00FF73D3"/>
    <w:rsid w:val="42AD269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2272</Words>
  <Characters>2335</Characters>
  <Lines>18</Lines>
  <Paragraphs>5</Paragraphs>
  <TotalTime>48</TotalTime>
  <ScaleCrop>false</ScaleCrop>
  <LinksUpToDate>false</LinksUpToDate>
  <CharactersWithSpaces>2602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2025-12-18T09:25:29Z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6BC039C21FFD49F7B86BF5FFCABDFC24_12</vt:lpwstr>
  </property>
</Properties>
</file>