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7FF91B">
      <w:pPr>
        <w:spacing w:line="600" w:lineRule="exact"/>
        <w:rPr>
          <w:rFonts w:ascii="仿宋_GB2312" w:eastAsia="仿宋_GB2312"/>
          <w:sz w:val="32"/>
          <w:szCs w:val="32"/>
        </w:rPr>
      </w:pPr>
      <w:bookmarkStart w:id="0" w:name="_GoBack"/>
      <w:bookmarkEnd w:id="0"/>
    </w:p>
    <w:p w14:paraId="338656A2">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高新区卫生监督所</w:t>
      </w:r>
      <w:r>
        <w:rPr>
          <w:rFonts w:ascii="仿宋" w:hAnsi="仿宋" w:eastAsia="仿宋" w:cs="仿宋"/>
          <w:b/>
          <w:bCs/>
          <w:color w:val="000000"/>
          <w:kern w:val="0"/>
          <w:sz w:val="36"/>
          <w:szCs w:val="36"/>
        </w:rPr>
        <w:t>20</w:t>
      </w:r>
      <w:r>
        <w:rPr>
          <w:rFonts w:hint="eastAsia" w:ascii="仿宋" w:hAnsi="仿宋" w:eastAsia="仿宋" w:cs="仿宋"/>
          <w:b/>
          <w:bCs/>
          <w:color w:val="000000"/>
          <w:kern w:val="0"/>
          <w:sz w:val="36"/>
          <w:szCs w:val="36"/>
        </w:rPr>
        <w:t>20年部门预算</w:t>
      </w:r>
    </w:p>
    <w:p w14:paraId="5A6E9FA7">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27EC4CF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 部门概况</w:t>
      </w:r>
    </w:p>
    <w:p w14:paraId="3516F35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66832B39">
      <w:pPr>
        <w:spacing w:line="330" w:lineRule="atLeast"/>
        <w:ind w:firstLine="600" w:firstLineChars="200"/>
        <w:rPr>
          <w:rFonts w:ascii="仿宋" w:hAnsi="仿宋" w:eastAsia="仿宋"/>
          <w:sz w:val="30"/>
          <w:szCs w:val="30"/>
        </w:rPr>
      </w:pPr>
      <w:r>
        <w:rPr>
          <w:rFonts w:hint="eastAsia" w:ascii="仿宋" w:hAnsi="仿宋" w:eastAsia="仿宋"/>
          <w:sz w:val="30"/>
          <w:szCs w:val="30"/>
        </w:rPr>
        <w:t>1、开展预防性和经常性卫生监督执法检查工作；</w:t>
      </w:r>
    </w:p>
    <w:p w14:paraId="52020AF7">
      <w:pPr>
        <w:spacing w:line="330" w:lineRule="atLeast"/>
        <w:ind w:firstLine="600" w:firstLineChars="200"/>
        <w:rPr>
          <w:rFonts w:ascii="仿宋" w:hAnsi="仿宋" w:eastAsia="仿宋"/>
          <w:sz w:val="30"/>
          <w:szCs w:val="30"/>
        </w:rPr>
      </w:pPr>
      <w:r>
        <w:rPr>
          <w:rFonts w:hint="eastAsia" w:ascii="仿宋" w:hAnsi="仿宋" w:eastAsia="仿宋"/>
          <w:sz w:val="30"/>
          <w:szCs w:val="30"/>
        </w:rPr>
        <w:t>2、受理辖区内办理的卫生许可和职业许可有关证件的审核；</w:t>
      </w:r>
    </w:p>
    <w:p w14:paraId="0964345E">
      <w:pPr>
        <w:spacing w:line="330" w:lineRule="atLeast"/>
        <w:ind w:firstLine="600" w:firstLineChars="200"/>
        <w:rPr>
          <w:rFonts w:ascii="仿宋" w:hAnsi="仿宋" w:eastAsia="仿宋"/>
          <w:sz w:val="30"/>
          <w:szCs w:val="30"/>
        </w:rPr>
      </w:pPr>
      <w:r>
        <w:rPr>
          <w:rFonts w:hint="eastAsia" w:ascii="仿宋" w:hAnsi="仿宋" w:eastAsia="仿宋"/>
          <w:sz w:val="30"/>
          <w:szCs w:val="30"/>
        </w:rPr>
        <w:t>3、对辖区内危害公共卫生的中毒事故、重大疫情和卫生行政处罚案件进行调查并提出处罚建议；</w:t>
      </w:r>
    </w:p>
    <w:p w14:paraId="4782F932">
      <w:pPr>
        <w:spacing w:line="330" w:lineRule="atLeast"/>
        <w:ind w:firstLine="600" w:firstLineChars="200"/>
        <w:rPr>
          <w:rFonts w:ascii="仿宋" w:hAnsi="仿宋" w:eastAsia="仿宋"/>
          <w:sz w:val="30"/>
          <w:szCs w:val="30"/>
        </w:rPr>
      </w:pPr>
      <w:r>
        <w:rPr>
          <w:rFonts w:hint="eastAsia" w:ascii="仿宋" w:hAnsi="仿宋" w:eastAsia="仿宋"/>
          <w:sz w:val="30"/>
          <w:szCs w:val="30"/>
        </w:rPr>
        <w:t xml:space="preserve">4、负责辖区内食品、化妆品、消毒产品、生活饮用水及公共场所的卫生安全，监督管理医疗机构和采供血机构及其执行人员的执业活动，预防和控制疾病及突发公共卫生事件应急处置工作； </w:t>
      </w:r>
    </w:p>
    <w:p w14:paraId="44F8AA82">
      <w:pPr>
        <w:spacing w:line="330" w:lineRule="atLeast"/>
        <w:ind w:firstLine="600" w:firstLineChars="200"/>
        <w:rPr>
          <w:rFonts w:ascii="仿宋" w:hAnsi="仿宋" w:eastAsia="仿宋"/>
          <w:sz w:val="30"/>
          <w:szCs w:val="30"/>
        </w:rPr>
      </w:pPr>
      <w:r>
        <w:rPr>
          <w:rFonts w:hint="eastAsia" w:ascii="仿宋" w:hAnsi="仿宋" w:eastAsia="仿宋"/>
          <w:sz w:val="30"/>
          <w:szCs w:val="30"/>
        </w:rPr>
        <w:t>5、组织实施辖区内的疾病控制技术对策和措施；</w:t>
      </w:r>
    </w:p>
    <w:p w14:paraId="51B7BEFA">
      <w:pPr>
        <w:spacing w:line="330" w:lineRule="atLeast"/>
        <w:ind w:firstLine="600" w:firstLineChars="200"/>
        <w:rPr>
          <w:rFonts w:ascii="仿宋" w:hAnsi="仿宋" w:eastAsia="仿宋"/>
          <w:sz w:val="30"/>
          <w:szCs w:val="30"/>
        </w:rPr>
      </w:pPr>
      <w:r>
        <w:rPr>
          <w:rFonts w:hint="eastAsia" w:ascii="仿宋" w:hAnsi="仿宋" w:eastAsia="仿宋"/>
          <w:sz w:val="30"/>
          <w:szCs w:val="30"/>
        </w:rPr>
        <w:t>6、负责疾病预防控制信息的收集整理、统计分析、综合评价、反馈及疫情报告等。</w:t>
      </w:r>
    </w:p>
    <w:p w14:paraId="2F88DDC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54BC284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2020年卫生监督所部门预算为本部综合收支计划，无二级单位。</w:t>
      </w:r>
    </w:p>
    <w:p w14:paraId="1EBC7D3A">
      <w:pPr>
        <w:widowControl/>
        <w:spacing w:line="330" w:lineRule="atLeast"/>
        <w:ind w:firstLine="600" w:firstLineChars="200"/>
        <w:jc w:val="left"/>
        <w:rPr>
          <w:rFonts w:ascii="仿宋" w:hAnsi="仿宋" w:eastAsia="仿宋" w:cs="仿宋"/>
          <w:color w:val="000000"/>
          <w:kern w:val="0"/>
          <w:sz w:val="30"/>
          <w:szCs w:val="30"/>
        </w:rPr>
      </w:pPr>
    </w:p>
    <w:p w14:paraId="2B8D1DF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 部门预算情况说明</w:t>
      </w:r>
    </w:p>
    <w:p w14:paraId="78004B4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52FC3FE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按照综合预算的原则，本部门所有收入和支出均纳入部门预算管理，无下级预算单位。收入包括：财政拨款收入846.7万元；支出包括：</w:t>
      </w:r>
      <w:r>
        <w:rPr>
          <w:rFonts w:hint="eastAsia" w:ascii="仿宋" w:hAnsi="仿宋" w:eastAsia="仿宋" w:cs="仿宋"/>
          <w:sz w:val="30"/>
          <w:szCs w:val="30"/>
        </w:rPr>
        <w:t>工资福利和对个人家庭补助支出652.5万元，商品和服务支出194.2万元。</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年预算数减少9.2万元，其中财政拨款收入比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年预算数减少9.2万元；支出比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年预算数减少9.2万元，其中</w:t>
      </w:r>
      <w:r>
        <w:rPr>
          <w:rFonts w:hint="eastAsia" w:ascii="仿宋" w:hAnsi="仿宋" w:eastAsia="仿宋" w:cs="仿宋"/>
          <w:sz w:val="30"/>
          <w:szCs w:val="30"/>
        </w:rPr>
        <w:t>工资福利和对个人家庭补助支出减少47万元，商品和服务支出增加37.8万元。</w:t>
      </w:r>
    </w:p>
    <w:p w14:paraId="6C2F40C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758508F4">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无“三公”经费支出，与去年相同。</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7915D37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05222AC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机关运行经费包括定额公用经费16.6万元。</w:t>
      </w:r>
    </w:p>
    <w:p w14:paraId="23B7CEB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2D951B2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19B2255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15ADD08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32A3EE5C">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1CA70E7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国有资产占有使用情况说明为：截至2019年12月31日，部门（单位）共有车辆4辆；单位价值50万元（含）以上通用设备0台（套）；单位价值100万元以上专用设备0台（套）。</w:t>
      </w:r>
    </w:p>
    <w:p w14:paraId="4695D99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686B5CE5">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本部门2020年未安排项目支出，故未设置绩效目标。</w:t>
      </w:r>
    </w:p>
    <w:p w14:paraId="2CAEB06B">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宋体" w:hAnsi="宋体" w:cs="Verdana"/>
          <w:color w:val="000000"/>
          <w:sz w:val="30"/>
          <w:szCs w:val="30"/>
        </w:rPr>
        <w:t>、</w:t>
      </w:r>
      <w:r>
        <w:rPr>
          <w:rFonts w:hint="eastAsia" w:ascii="仿宋" w:hAnsi="仿宋" w:eastAsia="仿宋" w:cs="仿宋"/>
          <w:color w:val="000000"/>
          <w:kern w:val="0"/>
          <w:sz w:val="30"/>
          <w:szCs w:val="30"/>
        </w:rPr>
        <w:t>项目情况</w:t>
      </w:r>
    </w:p>
    <w:p w14:paraId="5512A6C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w:t>
      </w:r>
    </w:p>
    <w:p w14:paraId="67506708">
      <w:pPr>
        <w:widowControl/>
        <w:spacing w:line="330" w:lineRule="atLeast"/>
        <w:ind w:firstLine="600" w:firstLineChars="200"/>
        <w:jc w:val="left"/>
        <w:rPr>
          <w:rFonts w:ascii="仿宋" w:hAnsi="仿宋" w:eastAsia="仿宋" w:cs="仿宋"/>
          <w:color w:val="000000"/>
          <w:kern w:val="0"/>
          <w:sz w:val="30"/>
          <w:szCs w:val="30"/>
        </w:rPr>
      </w:pPr>
    </w:p>
    <w:p w14:paraId="4EB6A3D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 名词解释</w:t>
      </w:r>
    </w:p>
    <w:p w14:paraId="2F1F6F2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1.财政拨款收入：指市财政当年拨付的资金。</w:t>
      </w:r>
      <w:r>
        <w:rPr>
          <w:rFonts w:ascii="仿宋" w:hAnsi="仿宋" w:eastAsia="仿宋" w:cs="仿宋"/>
          <w:color w:val="000000"/>
          <w:kern w:val="0"/>
          <w:sz w:val="30"/>
          <w:szCs w:val="30"/>
        </w:rPr>
        <w:t xml:space="preserve"> </w:t>
      </w:r>
    </w:p>
    <w:p w14:paraId="0B60051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2.其他收入：指除“财政拨款收入”、“财政专户拨款收入”等以外的收入，包括事业单位经营性收入、上级补助收入、附属单位上缴收入等。</w:t>
      </w:r>
    </w:p>
    <w:p w14:paraId="5DEADAD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3.基本支出：指为保障机构正常运转、完成日常工作任务而发生的人员支出和公用支出。</w:t>
      </w:r>
    </w:p>
    <w:p w14:paraId="078FA04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4.项目支出：指在基本支出之外为完成特定行政任务和事业发展目标所发生的支出。</w:t>
      </w:r>
    </w:p>
    <w:p w14:paraId="7D1B366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5.“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010FE6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6.一般公共服务（类）财政事务（款）行政运行（项）：反映行政单位（包括实行公务员管理的事业单位）的基本支出。</w:t>
      </w:r>
    </w:p>
    <w:p w14:paraId="27C32CC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7.一般公共服务（类）财政事务（款）一般行政管理事务（项）：反映行政单位（包括实行公务员管理的事业单位）未单独设置项级科目的其他项目支出。</w:t>
      </w:r>
    </w:p>
    <w:p w14:paraId="66E9996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8一般公共服务（类）财政事务（款）信息化建设（项）：反映财政部门用于“金财工程”等信息化建设方面的支出。</w:t>
      </w:r>
    </w:p>
    <w:p w14:paraId="0C8A860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9.一般公共服务（类）财政事务（款）财政委托业务支出（项）：反映财政委托评审机构进行财政投资评审和委托建设银行等机构代理业务发生的支出。</w:t>
      </w:r>
    </w:p>
    <w:p w14:paraId="2643E2D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10. 一般公共服务（类）财政事务（款）事业运行（项）：反映事业单位的基本支出，不包括行政单位（包括实行公务员管理的事业单位）后勤服务中心、医务室等附属事业单位。</w:t>
      </w:r>
    </w:p>
    <w:p w14:paraId="5DCF97A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11. 一般公共服务（类）财政事务（款）其他财政事务支出（项）：反映其他财政事务方面的支出。</w:t>
      </w:r>
    </w:p>
    <w:p w14:paraId="32CE49F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12．教育支出（类）其他教育支出（款）其他教育支出（项）：反映其他用于教育方面的支出。</w:t>
      </w:r>
    </w:p>
    <w:p w14:paraId="441531D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13. 社会保障和就业（类）行政事业单位离退休（款）归口管理的行政单位离退休（项）：反映实行归口管理的行政单位（包括实行公务员管理的事业单位）开支的离退休经费。</w:t>
      </w:r>
    </w:p>
    <w:p w14:paraId="728A0CB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14. 社会保障和就业（类）行政事业单位离退休（款）机关事业单位基本养老保险缴费支出（项）：反映机关事业单位实施养老保险制度由单位缴纳的基本养老保险费支出。</w:t>
      </w:r>
    </w:p>
    <w:p w14:paraId="6C935AD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D55684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16.医疗卫生与计划生育（类）医疗保障（款）事业单位医疗（项）：反映财政部门集中安排的事业单位基本医疗保险缴费经费，未参加医疗保险的事业单位的公费医疗经费，按国家规定享受离休人员待遇人员的医疗经费。</w:t>
      </w:r>
    </w:p>
    <w:p w14:paraId="37BCF2B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17.住房保障（类）住房改革（款）住房公积金（项）：反映行政事业单位按人力资源和社会保障部、财政部规定的基本工资和津贴补贴以及规定比例为职工缴纳的住房公积金。</w:t>
      </w:r>
    </w:p>
    <w:p w14:paraId="5995BD4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2B95473F">
      <w:pPr>
        <w:widowControl/>
        <w:spacing w:line="330" w:lineRule="atLeast"/>
        <w:ind w:firstLine="600" w:firstLineChars="200"/>
        <w:jc w:val="left"/>
        <w:rPr>
          <w:rFonts w:ascii="仿宋" w:hAnsi="仿宋" w:eastAsia="仿宋" w:cs="仿宋"/>
          <w:color w:val="000000"/>
          <w:kern w:val="0"/>
          <w:sz w:val="30"/>
          <w:szCs w:val="30"/>
        </w:rPr>
      </w:pPr>
    </w:p>
    <w:p w14:paraId="731C512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w:t>
      </w:r>
      <w:r>
        <w:rPr>
          <w:rFonts w:hint="eastAsia" w:ascii="仿宋" w:hAnsi="仿宋" w:eastAsia="仿宋" w:cs="仿宋"/>
          <w:color w:val="000000"/>
          <w:kern w:val="0"/>
          <w:sz w:val="30"/>
          <w:szCs w:val="30"/>
        </w:rPr>
        <w:t>20年6月4日</w:t>
      </w:r>
    </w:p>
    <w:p w14:paraId="1029AFB0">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F01060"/>
    <w:rsid w:val="000130C2"/>
    <w:rsid w:val="000969B3"/>
    <w:rsid w:val="000A55C1"/>
    <w:rsid w:val="000C3F9D"/>
    <w:rsid w:val="000E3387"/>
    <w:rsid w:val="00101BE5"/>
    <w:rsid w:val="00104AD4"/>
    <w:rsid w:val="0010550E"/>
    <w:rsid w:val="00164A2E"/>
    <w:rsid w:val="00165857"/>
    <w:rsid w:val="00187190"/>
    <w:rsid w:val="001961A4"/>
    <w:rsid w:val="001E3E93"/>
    <w:rsid w:val="002068BA"/>
    <w:rsid w:val="002478DE"/>
    <w:rsid w:val="00264775"/>
    <w:rsid w:val="00265F8B"/>
    <w:rsid w:val="003003AA"/>
    <w:rsid w:val="00342DA2"/>
    <w:rsid w:val="003B50ED"/>
    <w:rsid w:val="003C65CD"/>
    <w:rsid w:val="003D0633"/>
    <w:rsid w:val="003E61DA"/>
    <w:rsid w:val="003F2AA1"/>
    <w:rsid w:val="003F4DFF"/>
    <w:rsid w:val="004221E9"/>
    <w:rsid w:val="004314AC"/>
    <w:rsid w:val="004A4E15"/>
    <w:rsid w:val="004C549B"/>
    <w:rsid w:val="005732A6"/>
    <w:rsid w:val="00594FB5"/>
    <w:rsid w:val="005A04CC"/>
    <w:rsid w:val="005F4DCC"/>
    <w:rsid w:val="00614500"/>
    <w:rsid w:val="006541E5"/>
    <w:rsid w:val="00722C7B"/>
    <w:rsid w:val="00753345"/>
    <w:rsid w:val="00753F26"/>
    <w:rsid w:val="00755C7B"/>
    <w:rsid w:val="00773979"/>
    <w:rsid w:val="007805EB"/>
    <w:rsid w:val="00793572"/>
    <w:rsid w:val="007B12D0"/>
    <w:rsid w:val="007C5E3C"/>
    <w:rsid w:val="007F23D9"/>
    <w:rsid w:val="008207A6"/>
    <w:rsid w:val="00826E6F"/>
    <w:rsid w:val="008620BC"/>
    <w:rsid w:val="008641D1"/>
    <w:rsid w:val="008B01B8"/>
    <w:rsid w:val="008C7F8E"/>
    <w:rsid w:val="008E6614"/>
    <w:rsid w:val="009244A6"/>
    <w:rsid w:val="00941B10"/>
    <w:rsid w:val="00961681"/>
    <w:rsid w:val="009652AA"/>
    <w:rsid w:val="009848F0"/>
    <w:rsid w:val="00992B6D"/>
    <w:rsid w:val="009B0D96"/>
    <w:rsid w:val="009D2EBB"/>
    <w:rsid w:val="009F1015"/>
    <w:rsid w:val="009F229D"/>
    <w:rsid w:val="00A12672"/>
    <w:rsid w:val="00A150E4"/>
    <w:rsid w:val="00A26A44"/>
    <w:rsid w:val="00A377FD"/>
    <w:rsid w:val="00A5549A"/>
    <w:rsid w:val="00A70656"/>
    <w:rsid w:val="00A7639E"/>
    <w:rsid w:val="00A924A6"/>
    <w:rsid w:val="00B217F1"/>
    <w:rsid w:val="00B40E6C"/>
    <w:rsid w:val="00C052C0"/>
    <w:rsid w:val="00C054F4"/>
    <w:rsid w:val="00C12DD3"/>
    <w:rsid w:val="00C4536F"/>
    <w:rsid w:val="00C67479"/>
    <w:rsid w:val="00C84741"/>
    <w:rsid w:val="00CD777A"/>
    <w:rsid w:val="00CF43DA"/>
    <w:rsid w:val="00D10236"/>
    <w:rsid w:val="00D176CA"/>
    <w:rsid w:val="00D400F0"/>
    <w:rsid w:val="00D82E50"/>
    <w:rsid w:val="00DC1136"/>
    <w:rsid w:val="00DD605A"/>
    <w:rsid w:val="00DD67CE"/>
    <w:rsid w:val="00DF2079"/>
    <w:rsid w:val="00E160F9"/>
    <w:rsid w:val="00E652FD"/>
    <w:rsid w:val="00E679E1"/>
    <w:rsid w:val="00E804EF"/>
    <w:rsid w:val="00EA15E7"/>
    <w:rsid w:val="00EA6912"/>
    <w:rsid w:val="00EB6E55"/>
    <w:rsid w:val="00EE134B"/>
    <w:rsid w:val="00EE153C"/>
    <w:rsid w:val="00F01060"/>
    <w:rsid w:val="00F251AC"/>
    <w:rsid w:val="00F713C4"/>
    <w:rsid w:val="00F76F83"/>
    <w:rsid w:val="00F94B86"/>
    <w:rsid w:val="00F9777A"/>
    <w:rsid w:val="00FC5228"/>
    <w:rsid w:val="00FD042E"/>
    <w:rsid w:val="00FD7251"/>
    <w:rsid w:val="2FC40C8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19396-3723-4C80-A8B3-0CE669C47B8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2097</Words>
  <Characters>2179</Characters>
  <Lines>17</Lines>
  <Paragraphs>4</Paragraphs>
  <TotalTime>52</TotalTime>
  <ScaleCrop>false</ScaleCrop>
  <LinksUpToDate>false</LinksUpToDate>
  <CharactersWithSpaces>2447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2025-12-19T03:07:43Z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6066C501E27A47FFA22D847EF0A58F34_12</vt:lpwstr>
  </property>
</Properties>
</file>