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8F30B">
      <w:pPr>
        <w:adjustRightInd w:val="0"/>
        <w:jc w:val="center"/>
        <w:rPr>
          <w:rFonts w:ascii="宋体" w:hAnsi="宋体" w:eastAsia="宋体" w:cs="宋体"/>
          <w:b/>
          <w:bCs/>
          <w:color w:val="000000"/>
          <w:kern w:val="0"/>
          <w:sz w:val="44"/>
          <w:szCs w:val="44"/>
        </w:rPr>
      </w:pPr>
    </w:p>
    <w:p w14:paraId="57DFB152">
      <w:pPr>
        <w:adjustRightInd w:val="0"/>
        <w:jc w:val="center"/>
        <w:rPr>
          <w:rFonts w:ascii="宋体" w:hAnsi="宋体" w:eastAsia="宋体" w:cs="宋体"/>
          <w:b/>
          <w:bCs/>
          <w:color w:val="000000"/>
          <w:kern w:val="0"/>
          <w:sz w:val="44"/>
          <w:szCs w:val="44"/>
        </w:rPr>
      </w:pPr>
      <w:bookmarkStart w:id="0" w:name="_Hlk90368910"/>
      <w:r>
        <w:rPr>
          <w:rFonts w:hint="eastAsia" w:ascii="宋体" w:hAnsi="宋体" w:eastAsia="宋体" w:cs="宋体"/>
          <w:b/>
          <w:bCs/>
          <w:color w:val="000000"/>
          <w:kern w:val="0"/>
          <w:sz w:val="44"/>
          <w:szCs w:val="44"/>
        </w:rPr>
        <w:t>大连新源动力股份有限公司“</w:t>
      </w:r>
      <w:r>
        <w:rPr>
          <w:rFonts w:ascii="宋体" w:hAnsi="宋体" w:eastAsia="宋体" w:cs="宋体"/>
          <w:b/>
          <w:bCs/>
          <w:color w:val="000000"/>
          <w:kern w:val="0"/>
          <w:sz w:val="44"/>
          <w:szCs w:val="44"/>
        </w:rPr>
        <w:t>11.13</w:t>
      </w:r>
      <w:r>
        <w:rPr>
          <w:rFonts w:hint="eastAsia" w:ascii="宋体" w:hAnsi="宋体" w:eastAsia="宋体" w:cs="宋体"/>
          <w:b/>
          <w:bCs/>
          <w:color w:val="000000"/>
          <w:kern w:val="0"/>
          <w:sz w:val="44"/>
          <w:szCs w:val="44"/>
        </w:rPr>
        <w:t>”</w:t>
      </w:r>
    </w:p>
    <w:p w14:paraId="3BA26CF5">
      <w:pPr>
        <w:adjustRightInd w:val="0"/>
        <w:jc w:val="center"/>
        <w:rPr>
          <w:rFonts w:ascii="宋体" w:hAnsi="宋体" w:eastAsia="宋体" w:cs="方正小标宋简体"/>
          <w:b/>
          <w:bCs/>
          <w:kern w:val="0"/>
          <w:sz w:val="44"/>
          <w:szCs w:val="44"/>
        </w:rPr>
      </w:pPr>
      <w:r>
        <w:rPr>
          <w:rFonts w:hint="eastAsia" w:ascii="宋体" w:hAnsi="宋体" w:eastAsia="宋体" w:cs="宋体"/>
          <w:b/>
          <w:bCs/>
          <w:color w:val="000000"/>
          <w:kern w:val="0"/>
          <w:sz w:val="44"/>
          <w:szCs w:val="44"/>
        </w:rPr>
        <w:t>一般机械伤害事故</w:t>
      </w:r>
      <w:r>
        <w:rPr>
          <w:rFonts w:hint="eastAsia" w:ascii="宋体" w:hAnsi="宋体" w:eastAsia="宋体" w:cs="方正小标宋简体"/>
          <w:b/>
          <w:bCs/>
          <w:kern w:val="0"/>
          <w:sz w:val="44"/>
          <w:szCs w:val="44"/>
        </w:rPr>
        <w:t>整改落实情况评估报告</w:t>
      </w:r>
    </w:p>
    <w:bookmarkEnd w:id="0"/>
    <w:p w14:paraId="613AC87F">
      <w:pPr>
        <w:adjustRightInd w:val="0"/>
        <w:rPr>
          <w:rFonts w:ascii="仿宋_GB2312" w:hAnsi="宋体" w:eastAsia="仿宋_GB2312" w:cs="宋体"/>
          <w:color w:val="000000"/>
          <w:kern w:val="0"/>
          <w:sz w:val="32"/>
          <w:szCs w:val="32"/>
        </w:rPr>
      </w:pPr>
    </w:p>
    <w:p w14:paraId="272A93A5">
      <w:pPr>
        <w:adjustRightInd w:val="0"/>
        <w:ind w:firstLine="640" w:firstLineChars="200"/>
        <w:rPr>
          <w:rFonts w:ascii="仿宋" w:hAnsi="仿宋" w:eastAsia="仿宋" w:cs="宋体"/>
          <w:sz w:val="32"/>
          <w:szCs w:val="32"/>
        </w:rPr>
      </w:pPr>
      <w:r>
        <w:rPr>
          <w:rFonts w:ascii="仿宋" w:hAnsi="仿宋" w:eastAsia="仿宋" w:cs="宋体"/>
          <w:color w:val="000000"/>
          <w:kern w:val="0"/>
          <w:sz w:val="32"/>
          <w:szCs w:val="32"/>
        </w:rPr>
        <w:t>2020</w:t>
      </w:r>
      <w:r>
        <w:rPr>
          <w:rFonts w:hint="eastAsia" w:ascii="仿宋" w:hAnsi="仿宋" w:eastAsia="仿宋" w:cs="宋体"/>
          <w:color w:val="000000"/>
          <w:kern w:val="0"/>
          <w:sz w:val="32"/>
          <w:szCs w:val="32"/>
        </w:rPr>
        <w:t>年</w:t>
      </w:r>
      <w:r>
        <w:rPr>
          <w:rFonts w:ascii="仿宋" w:hAnsi="仿宋" w:eastAsia="仿宋" w:cs="宋体"/>
          <w:color w:val="000000"/>
          <w:kern w:val="0"/>
          <w:sz w:val="32"/>
          <w:szCs w:val="32"/>
        </w:rPr>
        <w:t>11</w:t>
      </w:r>
      <w:r>
        <w:rPr>
          <w:rFonts w:hint="eastAsia" w:ascii="仿宋" w:hAnsi="仿宋" w:eastAsia="仿宋" w:cs="宋体"/>
          <w:color w:val="000000"/>
          <w:kern w:val="0"/>
          <w:sz w:val="32"/>
          <w:szCs w:val="32"/>
        </w:rPr>
        <w:t>月</w:t>
      </w:r>
      <w:r>
        <w:rPr>
          <w:rFonts w:ascii="仿宋" w:hAnsi="仿宋" w:eastAsia="仿宋" w:cs="宋体"/>
          <w:color w:val="000000"/>
          <w:kern w:val="0"/>
          <w:sz w:val="32"/>
          <w:szCs w:val="32"/>
        </w:rPr>
        <w:t>13</w:t>
      </w:r>
      <w:r>
        <w:rPr>
          <w:rFonts w:hint="eastAsia" w:ascii="仿宋" w:hAnsi="仿宋" w:eastAsia="仿宋" w:cs="宋体"/>
          <w:color w:val="000000"/>
          <w:kern w:val="0"/>
          <w:sz w:val="32"/>
          <w:szCs w:val="32"/>
        </w:rPr>
        <w:t>日</w:t>
      </w:r>
      <w:r>
        <w:rPr>
          <w:rFonts w:ascii="仿宋" w:hAnsi="仿宋" w:eastAsia="仿宋" w:cs="宋体"/>
          <w:color w:val="000000"/>
          <w:kern w:val="0"/>
          <w:sz w:val="32"/>
          <w:szCs w:val="32"/>
        </w:rPr>
        <w:t>11</w:t>
      </w:r>
      <w:r>
        <w:rPr>
          <w:rFonts w:hint="eastAsia" w:ascii="仿宋" w:hAnsi="仿宋" w:eastAsia="仿宋" w:cs="宋体"/>
          <w:color w:val="000000"/>
          <w:kern w:val="0"/>
          <w:sz w:val="32"/>
          <w:szCs w:val="32"/>
        </w:rPr>
        <w:t>时</w:t>
      </w:r>
      <w:r>
        <w:rPr>
          <w:rFonts w:ascii="仿宋" w:hAnsi="仿宋" w:eastAsia="仿宋" w:cs="宋体"/>
          <w:color w:val="000000"/>
          <w:kern w:val="0"/>
          <w:sz w:val="32"/>
          <w:szCs w:val="32"/>
        </w:rPr>
        <w:t>25</w:t>
      </w:r>
      <w:r>
        <w:rPr>
          <w:rFonts w:hint="eastAsia" w:ascii="仿宋" w:hAnsi="仿宋" w:eastAsia="仿宋" w:cs="宋体"/>
          <w:color w:val="000000"/>
          <w:kern w:val="0"/>
          <w:sz w:val="32"/>
          <w:szCs w:val="32"/>
        </w:rPr>
        <w:t>分许，</w:t>
      </w:r>
      <w:r>
        <w:rPr>
          <w:rFonts w:hint="eastAsia" w:ascii="仿宋" w:hAnsi="仿宋" w:eastAsia="仿宋" w:cs="宋体"/>
          <w:sz w:val="32"/>
          <w:szCs w:val="32"/>
        </w:rPr>
        <w:t>大连新源动力股份有限公司场内发生生产安全一般事故，事故造成一人死亡，直接经济损失</w:t>
      </w:r>
      <w:r>
        <w:rPr>
          <w:rFonts w:ascii="仿宋" w:hAnsi="仿宋" w:eastAsia="仿宋" w:cs="宋体"/>
          <w:sz w:val="32"/>
          <w:szCs w:val="32"/>
        </w:rPr>
        <w:t>200</w:t>
      </w:r>
      <w:r>
        <w:rPr>
          <w:rFonts w:hint="eastAsia" w:ascii="仿宋" w:hAnsi="仿宋" w:eastAsia="仿宋" w:cs="宋体"/>
          <w:sz w:val="32"/>
          <w:szCs w:val="32"/>
        </w:rPr>
        <w:t>万元。</w:t>
      </w:r>
    </w:p>
    <w:p w14:paraId="276EDCD0">
      <w:pPr>
        <w:adjustRightInd w:val="0"/>
        <w:ind w:firstLine="640" w:firstLineChars="200"/>
        <w:jc w:val="left"/>
        <w:rPr>
          <w:rFonts w:ascii="仿宋" w:hAnsi="仿宋" w:eastAsia="仿宋"/>
          <w:sz w:val="32"/>
          <w:szCs w:val="32"/>
        </w:rPr>
      </w:pPr>
      <w:r>
        <w:rPr>
          <w:rFonts w:hint="eastAsia" w:ascii="仿宋" w:hAnsi="仿宋" w:eastAsia="仿宋"/>
          <w:sz w:val="32"/>
          <w:szCs w:val="32"/>
        </w:rPr>
        <w:t>2021年1月11日大连高新区管委会审议通过了《大连新源动力股份有限公司“11.13”一般机械伤害事故调查报告》，并印发了《关于大连新源动力股份有限公司升降平台安装工程“11.13”机械伤害一般事故结案的批复》（大高管发〔2021〕2号），同意事故结案。依据</w:t>
      </w:r>
      <w:bookmarkStart w:id="1" w:name="_Hlk90369097"/>
      <w:r>
        <w:rPr>
          <w:rFonts w:hint="eastAsia" w:ascii="仿宋" w:hAnsi="仿宋" w:eastAsia="仿宋"/>
          <w:sz w:val="32"/>
          <w:szCs w:val="32"/>
        </w:rPr>
        <w:t>《辽宁省人民政府办公厅关于印发辽宁省生产安全事故责任追究和整改措施落实情况评估暂行办法的通知》（辽政办〔2020〕15号）有关规定</w:t>
      </w:r>
      <w:bookmarkEnd w:id="1"/>
      <w:r>
        <w:rPr>
          <w:rFonts w:hint="eastAsia" w:ascii="仿宋" w:hAnsi="仿宋" w:eastAsia="仿宋"/>
          <w:sz w:val="32"/>
          <w:szCs w:val="32"/>
        </w:rPr>
        <w:t>，对事故整改措施落实情况进行评估,形成《大连新源动力股份有限公司“11.13”一般机械伤害事故整改落实情况评估报告》。</w:t>
      </w:r>
    </w:p>
    <w:p w14:paraId="6319D00E">
      <w:pPr>
        <w:adjustRightInd w:val="0"/>
        <w:ind w:firstLine="640" w:firstLineChars="200"/>
        <w:jc w:val="left"/>
        <w:rPr>
          <w:rFonts w:ascii="黑体" w:hAnsi="黑体" w:eastAsia="黑体"/>
          <w:sz w:val="32"/>
          <w:szCs w:val="32"/>
        </w:rPr>
      </w:pPr>
      <w:r>
        <w:rPr>
          <w:rFonts w:hint="eastAsia" w:ascii="黑体" w:hAnsi="黑体" w:eastAsia="黑体"/>
          <w:sz w:val="32"/>
          <w:szCs w:val="32"/>
        </w:rPr>
        <w:t>一、评估工作组织及开展情况</w:t>
      </w:r>
    </w:p>
    <w:p w14:paraId="704FA7A3">
      <w:pPr>
        <w:widowControl/>
        <w:adjustRightInd w:val="0"/>
        <w:ind w:firstLine="640" w:firstLineChars="200"/>
        <w:rPr>
          <w:rFonts w:ascii="仿宋" w:hAnsi="仿宋" w:eastAsia="仿宋"/>
          <w:sz w:val="32"/>
          <w:szCs w:val="32"/>
        </w:rPr>
      </w:pPr>
      <w:r>
        <w:rPr>
          <w:rFonts w:hint="eastAsia" w:ascii="仿宋" w:hAnsi="仿宋" w:eastAsia="仿宋"/>
          <w:sz w:val="32"/>
          <w:szCs w:val="32"/>
        </w:rPr>
        <w:t>2021年10月14日，根据《辽宁省人民政府办公厅关于印发辽宁省生产安全事故责任追究和整改措施落实情况评估暂行办法的通知》（辽政办〔2020〕15号）有关规定的要求，大连高新区管委会安委会办公室成立了由区应急局、区总工会、市公安分局、区纪检监察局、区综合执法中心、七贤岭街道组成的评估组，并邀请有关专家参与评估工作，评估组通过管委会及各相关部门事故防范、专家意见和整改措施落实情况；调阅事故相关责任单位以及责任人员的责任追究落实情况等对事故整改措施落实情况进行全面评估。</w:t>
      </w:r>
    </w:p>
    <w:p w14:paraId="3ADF1067">
      <w:pPr>
        <w:widowControl/>
        <w:adjustRightInd w:val="0"/>
        <w:ind w:firstLine="640" w:firstLineChars="200"/>
        <w:rPr>
          <w:rFonts w:ascii="楷体" w:hAnsi="楷体" w:eastAsia="楷体"/>
          <w:sz w:val="32"/>
          <w:szCs w:val="32"/>
        </w:rPr>
      </w:pPr>
      <w:r>
        <w:rPr>
          <w:rFonts w:hint="eastAsia" w:ascii="楷体" w:hAnsi="楷体" w:eastAsia="楷体"/>
          <w:sz w:val="32"/>
          <w:szCs w:val="32"/>
        </w:rPr>
        <w:t>（一）评估组成员</w:t>
      </w:r>
    </w:p>
    <w:p w14:paraId="1A850062">
      <w:pPr>
        <w:widowControl/>
        <w:adjustRightInd w:val="0"/>
        <w:ind w:firstLine="640" w:firstLineChars="200"/>
        <w:rPr>
          <w:rFonts w:ascii="仿宋" w:hAnsi="仿宋" w:eastAsia="仿宋"/>
          <w:sz w:val="32"/>
          <w:szCs w:val="32"/>
        </w:rPr>
      </w:pPr>
      <w:r>
        <w:rPr>
          <w:rFonts w:hint="eastAsia" w:ascii="仿宋" w:hAnsi="仿宋" w:eastAsia="仿宋"/>
          <w:sz w:val="32"/>
          <w:szCs w:val="32"/>
        </w:rPr>
        <w:t>组长：蔡锐    区应急局局长</w:t>
      </w:r>
    </w:p>
    <w:p w14:paraId="7B6C7595">
      <w:pPr>
        <w:widowControl/>
        <w:adjustRightInd w:val="0"/>
        <w:ind w:firstLine="640" w:firstLineChars="200"/>
        <w:rPr>
          <w:rFonts w:ascii="仿宋" w:hAnsi="仿宋" w:eastAsia="仿宋"/>
          <w:sz w:val="32"/>
          <w:szCs w:val="32"/>
        </w:rPr>
      </w:pPr>
      <w:r>
        <w:rPr>
          <w:rFonts w:hint="eastAsia" w:ascii="仿宋" w:hAnsi="仿宋" w:eastAsia="仿宋"/>
          <w:sz w:val="32"/>
          <w:szCs w:val="32"/>
        </w:rPr>
        <w:t>组员：阚悦侨  区安应急局安监科科长</w:t>
      </w:r>
    </w:p>
    <w:p w14:paraId="0AE7C7FF">
      <w:pPr>
        <w:widowControl/>
        <w:adjustRightInd w:val="0"/>
        <w:ind w:firstLine="640" w:firstLineChars="200"/>
        <w:rPr>
          <w:rFonts w:ascii="仿宋" w:hAnsi="仿宋" w:eastAsia="仿宋"/>
          <w:sz w:val="32"/>
          <w:szCs w:val="32"/>
        </w:rPr>
      </w:pPr>
      <w:r>
        <w:rPr>
          <w:rFonts w:hint="eastAsia" w:ascii="仿宋" w:hAnsi="仿宋" w:eastAsia="仿宋"/>
          <w:sz w:val="32"/>
          <w:szCs w:val="32"/>
        </w:rPr>
        <w:t xml:space="preserve">      宋占峰  区党建服务中心（总工会）</w:t>
      </w:r>
    </w:p>
    <w:p w14:paraId="78F046A4">
      <w:pPr>
        <w:widowControl/>
        <w:adjustRightInd w:val="0"/>
        <w:ind w:firstLine="640" w:firstLineChars="200"/>
        <w:rPr>
          <w:rFonts w:ascii="仿宋" w:hAnsi="仿宋" w:eastAsia="仿宋"/>
          <w:sz w:val="32"/>
          <w:szCs w:val="32"/>
        </w:rPr>
      </w:pPr>
      <w:r>
        <w:rPr>
          <w:rFonts w:hint="eastAsia" w:ascii="仿宋" w:hAnsi="仿宋" w:eastAsia="仿宋"/>
          <w:sz w:val="32"/>
          <w:szCs w:val="32"/>
        </w:rPr>
        <w:t xml:space="preserve">      李之富  区公安分局</w:t>
      </w:r>
    </w:p>
    <w:p w14:paraId="34D30CF2">
      <w:pPr>
        <w:widowControl/>
        <w:adjustRightInd w:val="0"/>
        <w:ind w:firstLine="640" w:firstLineChars="200"/>
        <w:rPr>
          <w:rFonts w:ascii="仿宋" w:hAnsi="仿宋" w:eastAsia="仿宋"/>
          <w:sz w:val="32"/>
          <w:szCs w:val="32"/>
        </w:rPr>
      </w:pPr>
      <w:r>
        <w:rPr>
          <w:rFonts w:hint="eastAsia" w:ascii="仿宋" w:hAnsi="仿宋" w:eastAsia="仿宋"/>
          <w:sz w:val="32"/>
          <w:szCs w:val="32"/>
        </w:rPr>
        <w:t xml:space="preserve">      刘汝栋  区纪检监察局</w:t>
      </w:r>
    </w:p>
    <w:p w14:paraId="1FA47410">
      <w:pPr>
        <w:widowControl/>
        <w:adjustRightInd w:val="0"/>
        <w:ind w:firstLine="640" w:firstLineChars="200"/>
        <w:rPr>
          <w:rFonts w:ascii="仿宋" w:hAnsi="仿宋" w:eastAsia="仿宋"/>
          <w:sz w:val="32"/>
          <w:szCs w:val="32"/>
        </w:rPr>
      </w:pPr>
      <w:r>
        <w:rPr>
          <w:rFonts w:hint="eastAsia" w:ascii="仿宋" w:hAnsi="仿宋" w:eastAsia="仿宋"/>
          <w:sz w:val="32"/>
          <w:szCs w:val="32"/>
        </w:rPr>
        <w:t xml:space="preserve">      田 景   区综合执法中心</w:t>
      </w:r>
    </w:p>
    <w:p w14:paraId="03053C9E">
      <w:pPr>
        <w:widowControl/>
        <w:adjustRightInd w:val="0"/>
        <w:ind w:firstLine="640" w:firstLineChars="200"/>
        <w:rPr>
          <w:rFonts w:ascii="仿宋" w:hAnsi="仿宋" w:eastAsia="仿宋"/>
          <w:sz w:val="32"/>
          <w:szCs w:val="32"/>
        </w:rPr>
      </w:pPr>
      <w:r>
        <w:rPr>
          <w:rFonts w:hint="eastAsia" w:ascii="仿宋" w:hAnsi="仿宋" w:eastAsia="仿宋"/>
          <w:sz w:val="32"/>
          <w:szCs w:val="32"/>
        </w:rPr>
        <w:t xml:space="preserve">      高 放   七贤岭街道</w:t>
      </w:r>
    </w:p>
    <w:p w14:paraId="7AF332B7">
      <w:pPr>
        <w:widowControl/>
        <w:adjustRightInd w:val="0"/>
        <w:ind w:firstLine="640" w:firstLineChars="200"/>
        <w:rPr>
          <w:rFonts w:ascii="仿宋" w:hAnsi="仿宋" w:eastAsia="仿宋"/>
          <w:sz w:val="32"/>
          <w:szCs w:val="32"/>
        </w:rPr>
      </w:pPr>
      <w:r>
        <w:rPr>
          <w:rFonts w:hint="eastAsia" w:ascii="仿宋" w:hAnsi="仿宋" w:eastAsia="仿宋"/>
          <w:sz w:val="32"/>
          <w:szCs w:val="32"/>
        </w:rPr>
        <w:t xml:space="preserve">      张传卓  工程师（安全专家）</w:t>
      </w:r>
    </w:p>
    <w:p w14:paraId="5EED94F6">
      <w:pPr>
        <w:widowControl/>
        <w:adjustRightInd w:val="0"/>
        <w:ind w:firstLine="640" w:firstLineChars="200"/>
        <w:rPr>
          <w:rFonts w:ascii="楷体" w:hAnsi="楷体" w:eastAsia="楷体"/>
          <w:sz w:val="32"/>
          <w:szCs w:val="32"/>
        </w:rPr>
      </w:pPr>
      <w:r>
        <w:rPr>
          <w:rFonts w:hint="eastAsia" w:ascii="楷体" w:hAnsi="楷体" w:eastAsia="楷体"/>
          <w:sz w:val="32"/>
          <w:szCs w:val="32"/>
        </w:rPr>
        <w:t>（二）评估内容</w:t>
      </w:r>
    </w:p>
    <w:p w14:paraId="5B78834C">
      <w:pPr>
        <w:widowControl/>
        <w:adjustRightInd w:val="0"/>
        <w:ind w:firstLine="640" w:firstLineChars="200"/>
        <w:rPr>
          <w:rFonts w:ascii="仿宋" w:hAnsi="仿宋" w:eastAsia="仿宋"/>
          <w:sz w:val="32"/>
          <w:szCs w:val="32"/>
        </w:rPr>
      </w:pPr>
      <w:r>
        <w:rPr>
          <w:rFonts w:hint="eastAsia" w:ascii="仿宋" w:hAnsi="仿宋" w:eastAsia="仿宋"/>
          <w:sz w:val="32"/>
          <w:szCs w:val="32"/>
        </w:rPr>
        <w:t>1.事故归档、备案及公布的情况；</w:t>
      </w:r>
    </w:p>
    <w:p w14:paraId="3951E3F6">
      <w:pPr>
        <w:widowControl/>
        <w:adjustRightInd w:val="0"/>
        <w:ind w:firstLine="640" w:firstLineChars="200"/>
        <w:rPr>
          <w:rFonts w:ascii="仿宋" w:hAnsi="仿宋" w:eastAsia="仿宋"/>
          <w:sz w:val="32"/>
          <w:szCs w:val="32"/>
        </w:rPr>
      </w:pPr>
      <w:r>
        <w:rPr>
          <w:rFonts w:hint="eastAsia" w:ascii="仿宋" w:hAnsi="仿宋" w:eastAsia="仿宋"/>
          <w:sz w:val="32"/>
          <w:szCs w:val="32"/>
        </w:rPr>
        <w:t>2.事故相关责任单位处理意见的落实情况；</w:t>
      </w:r>
    </w:p>
    <w:p w14:paraId="15A316AE">
      <w:pPr>
        <w:widowControl/>
        <w:adjustRightInd w:val="0"/>
        <w:ind w:firstLine="640" w:firstLineChars="200"/>
        <w:rPr>
          <w:rFonts w:ascii="仿宋" w:hAnsi="仿宋" w:eastAsia="仿宋"/>
          <w:sz w:val="32"/>
          <w:szCs w:val="32"/>
        </w:rPr>
      </w:pPr>
      <w:r>
        <w:rPr>
          <w:rFonts w:hint="eastAsia" w:ascii="仿宋" w:hAnsi="仿宋" w:eastAsia="仿宋"/>
          <w:sz w:val="32"/>
          <w:szCs w:val="32"/>
        </w:rPr>
        <w:t>3.事故相关责任人员处理意见的落实情况；</w:t>
      </w:r>
    </w:p>
    <w:p w14:paraId="2CA9E189">
      <w:pPr>
        <w:widowControl/>
        <w:adjustRightInd w:val="0"/>
        <w:ind w:firstLine="640" w:firstLineChars="200"/>
        <w:rPr>
          <w:rFonts w:ascii="仿宋" w:hAnsi="仿宋" w:eastAsia="仿宋"/>
          <w:sz w:val="32"/>
          <w:szCs w:val="32"/>
        </w:rPr>
      </w:pPr>
      <w:r>
        <w:rPr>
          <w:rFonts w:hint="eastAsia" w:ascii="仿宋" w:hAnsi="仿宋" w:eastAsia="仿宋"/>
          <w:sz w:val="32"/>
          <w:szCs w:val="32"/>
        </w:rPr>
        <w:t>4.事故责任单位防范和整改措施落实情况；</w:t>
      </w:r>
    </w:p>
    <w:p w14:paraId="0C3E13D3">
      <w:pPr>
        <w:widowControl/>
        <w:adjustRightInd w:val="0"/>
        <w:ind w:firstLine="640" w:firstLineChars="200"/>
        <w:rPr>
          <w:rFonts w:ascii="楷体" w:hAnsi="楷体" w:eastAsia="楷体"/>
          <w:sz w:val="32"/>
          <w:szCs w:val="32"/>
        </w:rPr>
      </w:pPr>
      <w:r>
        <w:rPr>
          <w:rFonts w:hint="eastAsia" w:ascii="楷体" w:hAnsi="楷体" w:eastAsia="楷体"/>
          <w:sz w:val="32"/>
          <w:szCs w:val="32"/>
        </w:rPr>
        <w:t>（三）评估方法</w:t>
      </w:r>
    </w:p>
    <w:p w14:paraId="448B2AF7">
      <w:pPr>
        <w:widowControl/>
        <w:adjustRightInd w:val="0"/>
        <w:ind w:firstLine="640" w:firstLineChars="200"/>
        <w:rPr>
          <w:rFonts w:ascii="仿宋" w:hAnsi="仿宋" w:eastAsia="仿宋"/>
          <w:sz w:val="32"/>
          <w:szCs w:val="32"/>
        </w:rPr>
      </w:pPr>
      <w:r>
        <w:rPr>
          <w:rFonts w:hint="eastAsia" w:ascii="仿宋" w:hAnsi="仿宋" w:eastAsia="仿宋"/>
          <w:sz w:val="32"/>
          <w:szCs w:val="32"/>
        </w:rPr>
        <w:t>1.制定评估工作方案，明确评估工作的目标、任务、方法、步骤、时限和要求；</w:t>
      </w:r>
    </w:p>
    <w:p w14:paraId="29FC311B">
      <w:pPr>
        <w:widowControl/>
        <w:adjustRightInd w:val="0"/>
        <w:ind w:firstLine="640" w:firstLineChars="200"/>
        <w:rPr>
          <w:rFonts w:ascii="仿宋" w:hAnsi="仿宋" w:eastAsia="仿宋"/>
          <w:sz w:val="32"/>
          <w:szCs w:val="32"/>
        </w:rPr>
      </w:pPr>
      <w:r>
        <w:rPr>
          <w:rFonts w:hint="eastAsia" w:ascii="仿宋" w:hAnsi="仿宋" w:eastAsia="仿宋"/>
          <w:sz w:val="32"/>
          <w:szCs w:val="32"/>
        </w:rPr>
        <w:t>2.走访大连新源动力股份有限公司整改措施落实情况及安全生产现状；</w:t>
      </w:r>
    </w:p>
    <w:p w14:paraId="4AF49773">
      <w:pPr>
        <w:widowControl/>
        <w:adjustRightInd w:val="0"/>
        <w:ind w:firstLine="640" w:firstLineChars="200"/>
        <w:rPr>
          <w:rFonts w:ascii="仿宋" w:hAnsi="仿宋" w:eastAsia="仿宋"/>
          <w:sz w:val="32"/>
          <w:szCs w:val="32"/>
        </w:rPr>
      </w:pPr>
      <w:r>
        <w:rPr>
          <w:rFonts w:hint="eastAsia" w:ascii="仿宋" w:hAnsi="仿宋" w:eastAsia="仿宋"/>
          <w:sz w:val="32"/>
          <w:szCs w:val="32"/>
        </w:rPr>
        <w:t>3.调阅相关责任单位及责任人员的责任追究落实情况；</w:t>
      </w:r>
    </w:p>
    <w:p w14:paraId="2462EAEC">
      <w:pPr>
        <w:widowControl/>
        <w:adjustRightInd w:val="0"/>
        <w:ind w:firstLine="640" w:firstLineChars="200"/>
        <w:rPr>
          <w:rFonts w:ascii="仿宋" w:hAnsi="仿宋" w:eastAsia="仿宋"/>
          <w:sz w:val="32"/>
          <w:szCs w:val="32"/>
        </w:rPr>
      </w:pPr>
      <w:r>
        <w:rPr>
          <w:rFonts w:hint="eastAsia" w:ascii="仿宋" w:hAnsi="仿宋" w:eastAsia="仿宋"/>
          <w:sz w:val="32"/>
          <w:szCs w:val="32"/>
        </w:rPr>
        <w:t>4.依据事故调查报告对事故责任单位品汇公司、京华高科整改措施落实情况进行核查，出具评估意见；</w:t>
      </w:r>
    </w:p>
    <w:p w14:paraId="01DB38E7">
      <w:pPr>
        <w:widowControl/>
        <w:adjustRightInd w:val="0"/>
        <w:ind w:firstLine="640" w:firstLineChars="200"/>
        <w:rPr>
          <w:rFonts w:ascii="仿宋" w:hAnsi="仿宋" w:eastAsia="仿宋"/>
          <w:sz w:val="32"/>
          <w:szCs w:val="32"/>
        </w:rPr>
      </w:pPr>
      <w:r>
        <w:rPr>
          <w:rFonts w:hint="eastAsia" w:ascii="仿宋" w:hAnsi="仿宋" w:eastAsia="仿宋"/>
          <w:sz w:val="32"/>
          <w:szCs w:val="32"/>
        </w:rPr>
        <w:t>5.收集、整理有关见证材料，起草评估报告。</w:t>
      </w:r>
    </w:p>
    <w:p w14:paraId="5222AF3D">
      <w:pPr>
        <w:widowControl/>
        <w:adjustRightInd w:val="0"/>
        <w:ind w:firstLine="640" w:firstLineChars="200"/>
        <w:rPr>
          <w:rFonts w:ascii="黑体" w:hAnsi="黑体" w:eastAsia="黑体"/>
          <w:sz w:val="32"/>
          <w:szCs w:val="32"/>
        </w:rPr>
      </w:pPr>
      <w:r>
        <w:rPr>
          <w:rFonts w:hint="eastAsia" w:ascii="黑体" w:hAnsi="黑体" w:eastAsia="黑体"/>
          <w:sz w:val="32"/>
          <w:szCs w:val="32"/>
        </w:rPr>
        <w:t>二、事故归档、备案及公布的情况</w:t>
      </w:r>
    </w:p>
    <w:p w14:paraId="17A98F48">
      <w:pPr>
        <w:widowControl/>
        <w:adjustRightInd w:val="0"/>
        <w:ind w:firstLine="640" w:firstLineChars="200"/>
        <w:rPr>
          <w:rFonts w:ascii="仿宋" w:hAnsi="仿宋" w:eastAsia="仿宋"/>
          <w:sz w:val="32"/>
          <w:szCs w:val="32"/>
        </w:rPr>
      </w:pPr>
      <w:r>
        <w:rPr>
          <w:rFonts w:hint="eastAsia" w:ascii="仿宋" w:hAnsi="仿宋" w:eastAsia="仿宋"/>
          <w:sz w:val="32"/>
          <w:szCs w:val="32"/>
        </w:rPr>
        <w:t>高新区安监局按要求对事故案卷进行了归档，共分18卷，156页；按规定向高新区管委会法制办和大连市应急管理局进行了备案；于2021年1月12日在大连高新区管委会官方网站对事故调查报告进行了全文公布，接受社会监督。</w:t>
      </w:r>
    </w:p>
    <w:p w14:paraId="5EEA78A6">
      <w:pPr>
        <w:widowControl/>
        <w:adjustRightInd w:val="0"/>
        <w:ind w:firstLine="640" w:firstLineChars="200"/>
        <w:rPr>
          <w:rFonts w:ascii="黑体" w:hAnsi="黑体" w:eastAsia="黑体"/>
          <w:sz w:val="32"/>
          <w:szCs w:val="32"/>
        </w:rPr>
      </w:pPr>
      <w:r>
        <w:rPr>
          <w:rFonts w:hint="eastAsia" w:ascii="黑体" w:hAnsi="黑体" w:eastAsia="黑体"/>
          <w:sz w:val="32"/>
          <w:szCs w:val="32"/>
        </w:rPr>
        <w:t>三、事故相关责任单位、责任人员处理意见的落实情况</w:t>
      </w:r>
    </w:p>
    <w:p w14:paraId="64235AAF">
      <w:pPr>
        <w:widowControl/>
        <w:adjustRightInd w:val="0"/>
        <w:ind w:firstLine="640" w:firstLineChars="200"/>
        <w:rPr>
          <w:rFonts w:ascii="仿宋" w:hAnsi="仿宋" w:eastAsia="仿宋"/>
          <w:sz w:val="32"/>
          <w:szCs w:val="32"/>
        </w:rPr>
      </w:pPr>
      <w:r>
        <w:rPr>
          <w:rFonts w:hint="eastAsia" w:ascii="仿宋" w:hAnsi="仿宋" w:eastAsia="仿宋"/>
          <w:sz w:val="32"/>
          <w:szCs w:val="32"/>
        </w:rPr>
        <w:t>事故调查报告共对1个事故责任单位、1名责任人提出了处理意见，现已全部执行到位。</w:t>
      </w:r>
    </w:p>
    <w:p w14:paraId="0D659D67">
      <w:pPr>
        <w:widowControl/>
        <w:adjustRightInd w:val="0"/>
        <w:ind w:firstLine="640" w:firstLineChars="200"/>
        <w:rPr>
          <w:rFonts w:ascii="仿宋" w:hAnsi="仿宋" w:eastAsia="仿宋"/>
          <w:sz w:val="32"/>
          <w:szCs w:val="32"/>
        </w:rPr>
      </w:pPr>
      <w:r>
        <w:rPr>
          <w:rFonts w:hint="eastAsia" w:ascii="黑体" w:hAnsi="黑体" w:eastAsia="黑体"/>
          <w:sz w:val="32"/>
          <w:szCs w:val="32"/>
        </w:rPr>
        <w:t>四、对相关责任人员的处理意见的落实情况</w:t>
      </w:r>
      <w:r>
        <w:rPr>
          <w:rFonts w:hint="eastAsia" w:ascii="仿宋" w:hAnsi="仿宋" w:eastAsia="仿宋"/>
          <w:b/>
          <w:bCs/>
          <w:sz w:val="32"/>
          <w:szCs w:val="32"/>
        </w:rPr>
        <w:br w:type="textWrapping"/>
      </w:r>
      <w:r>
        <w:rPr>
          <w:rFonts w:hint="eastAsia" w:ascii="仿宋" w:hAnsi="仿宋" w:eastAsia="仿宋"/>
          <w:sz w:val="32"/>
          <w:szCs w:val="32"/>
        </w:rPr>
        <w:t>　　赵秀霞，大连鑫华起重机有限公司法定代表人，未认真履行《中华人民共和国安全生产法》第十八条（五）项“督促、检查本单位的安全生产工作，及时消除生产安全事故隐患”的职责，督促、检查隐患排查治理工作不到位，对事故发生负有领导责任。</w:t>
      </w:r>
    </w:p>
    <w:p w14:paraId="272B8476">
      <w:pPr>
        <w:widowControl/>
        <w:adjustRightInd w:val="0"/>
        <w:ind w:firstLine="640" w:firstLineChars="200"/>
        <w:rPr>
          <w:rFonts w:ascii="仿宋" w:hAnsi="仿宋" w:eastAsia="仿宋"/>
          <w:sz w:val="32"/>
          <w:szCs w:val="32"/>
        </w:rPr>
      </w:pPr>
      <w:r>
        <w:rPr>
          <w:rFonts w:hint="eastAsia" w:ascii="仿宋" w:hAnsi="仿宋" w:eastAsia="仿宋"/>
          <w:sz w:val="32"/>
          <w:szCs w:val="32"/>
        </w:rPr>
        <w:t>2021年1月11日，高新区应急局按照法定程序对“11·13”事故赵秀霞违法案进行了立案处理，2021年1月21日，经高新区应急局集体讨论决定，同意对大连鑫华起重机有限公司经营者赵秀霞按高新区管委会批复的事故调查报告进行处罚，下达了《行政处罚决定书（大高应急罚〔2021〕0001号），对其处以上年度收入30%罚款的行政处罚（合计：大写玖仟元整）。2021年2月2日赵秀霞按规定足额缴纳了罚款，2021年2月2日，经高新区应急局主要负责人审批同意结案。</w:t>
      </w:r>
    </w:p>
    <w:p w14:paraId="59F729F8">
      <w:pPr>
        <w:widowControl/>
        <w:adjustRightInd w:val="0"/>
        <w:ind w:firstLine="640" w:firstLineChars="200"/>
        <w:rPr>
          <w:rFonts w:ascii="仿宋" w:hAnsi="仿宋" w:eastAsia="仿宋"/>
          <w:sz w:val="32"/>
          <w:szCs w:val="32"/>
        </w:rPr>
      </w:pPr>
      <w:r>
        <w:rPr>
          <w:rFonts w:hint="eastAsia" w:ascii="仿宋" w:hAnsi="仿宋" w:eastAsia="仿宋"/>
          <w:sz w:val="32"/>
          <w:szCs w:val="32"/>
        </w:rPr>
        <w:t>大连鑫华起重机有限公司安全教育培训不到位，安装调试作业人员安全意识差，缺乏自我保护能力，违反《中华人民共和国安全生产法》第四十一条“生产经营单位应当教育和督促从业人员严格执行本单位的安全生产规章制度和安全操作规程，并向从业人员如实告知作业场所和工作岗位存在的危险因素、防范措施以及事故应急措施”，公司的生产安全事故隐患排查治理制度缺乏，也未能及时发现并消除剪叉式升降工作平台存在的事故隐患，违反《中华人民共和国安全生产法》第三十八条“生产经营单位应当建立健全生产安全事故隐患排查治理制度，采取技术、管理措施，及时发现并消除事故隐患”，对事故发生负有责任。</w:t>
      </w:r>
    </w:p>
    <w:p w14:paraId="7A11F897">
      <w:pPr>
        <w:widowControl/>
        <w:adjustRightInd w:val="0"/>
        <w:ind w:firstLine="640" w:firstLineChars="200"/>
        <w:rPr>
          <w:rFonts w:ascii="仿宋" w:hAnsi="仿宋" w:eastAsia="仿宋"/>
          <w:sz w:val="32"/>
          <w:szCs w:val="32"/>
        </w:rPr>
      </w:pPr>
      <w:r>
        <w:rPr>
          <w:rFonts w:hint="eastAsia" w:ascii="仿宋" w:hAnsi="仿宋" w:eastAsia="仿宋"/>
          <w:sz w:val="32"/>
          <w:szCs w:val="32"/>
        </w:rPr>
        <w:t>2021年1月11日，高新区应急局按照法定程序对“11·13”事故大连鑫华起重机有限公司违法案进行了立案处理，2021年1月21日，经高新区应急局集体讨论决定，同意对大连鑫华起重机有限公司按高新区管委会批复的事故调查报告进行处罚，下达了《行政处罚决定书（大高应急罚〔2021〕0002号），。依据《中华人民共和国安全生产法》第一百零九条（一）项的规定，对其处以贰拾万元整的行政处罚。2021年2月2日大连鑫华起重机有限公司按规定足额缴纳了罚款，2021年2月2日，经高新区应急局主要负责人审批同意结案。</w:t>
      </w:r>
    </w:p>
    <w:p w14:paraId="1E7AAF78">
      <w:pPr>
        <w:widowControl/>
        <w:adjustRightInd w:val="0"/>
        <w:ind w:firstLine="640" w:firstLineChars="200"/>
        <w:rPr>
          <w:rFonts w:ascii="黑体" w:hAnsi="黑体" w:eastAsia="黑体"/>
          <w:sz w:val="32"/>
          <w:szCs w:val="32"/>
        </w:rPr>
      </w:pPr>
      <w:r>
        <w:rPr>
          <w:rFonts w:hint="eastAsia" w:ascii="黑体" w:hAnsi="黑体" w:eastAsia="黑体"/>
          <w:sz w:val="32"/>
          <w:szCs w:val="32"/>
        </w:rPr>
        <w:t>五、事故责任单位事故防范和整改措施落实情况</w:t>
      </w:r>
    </w:p>
    <w:p w14:paraId="63AA56BF">
      <w:pPr>
        <w:widowControl/>
        <w:adjustRightInd w:val="0"/>
        <w:ind w:firstLine="640" w:firstLineChars="200"/>
        <w:rPr>
          <w:rFonts w:ascii="仿宋" w:hAnsi="仿宋" w:eastAsia="仿宋"/>
          <w:sz w:val="32"/>
          <w:szCs w:val="32"/>
        </w:rPr>
      </w:pPr>
      <w:r>
        <w:rPr>
          <w:rFonts w:hint="eastAsia" w:ascii="仿宋" w:hAnsi="仿宋" w:eastAsia="仿宋"/>
          <w:sz w:val="32"/>
          <w:szCs w:val="32"/>
        </w:rPr>
        <w:t>大连新源动力股份有限公司充分吸取了“11·13”事故的惨痛教训，在安全生产管理方面加大力度进行了整改：</w:t>
      </w:r>
    </w:p>
    <w:p w14:paraId="18CEDA85">
      <w:pPr>
        <w:widowControl/>
        <w:adjustRightInd w:val="0"/>
        <w:ind w:firstLine="640" w:firstLineChars="200"/>
        <w:rPr>
          <w:rFonts w:ascii="仿宋" w:hAnsi="仿宋" w:eastAsia="仿宋"/>
          <w:sz w:val="32"/>
          <w:szCs w:val="32"/>
        </w:rPr>
      </w:pPr>
      <w:r>
        <w:rPr>
          <w:rFonts w:hint="eastAsia" w:ascii="仿宋" w:hAnsi="仿宋" w:eastAsia="仿宋"/>
          <w:sz w:val="32"/>
          <w:szCs w:val="32"/>
        </w:rPr>
        <w:t>1.企业建立健全了安全生产规章制度和安全操作规程，并对员工进行了安全教育，增强安全意识。</w:t>
      </w:r>
    </w:p>
    <w:p w14:paraId="52A1E0D4">
      <w:pPr>
        <w:widowControl/>
        <w:adjustRightInd w:val="0"/>
        <w:ind w:firstLine="640" w:firstLineChars="200"/>
        <w:rPr>
          <w:rFonts w:ascii="仿宋" w:hAnsi="仿宋" w:eastAsia="仿宋"/>
          <w:sz w:val="32"/>
          <w:szCs w:val="32"/>
        </w:rPr>
      </w:pPr>
      <w:r>
        <w:rPr>
          <w:rFonts w:hint="eastAsia" w:ascii="仿宋" w:hAnsi="仿宋" w:eastAsia="仿宋"/>
          <w:sz w:val="32"/>
          <w:szCs w:val="32"/>
        </w:rPr>
        <w:t>2.对剪叉式升降工作平台施工中的危险状况、进行认真的辨识，正确做好防范措施，消除隐患。</w:t>
      </w:r>
    </w:p>
    <w:p w14:paraId="273B0DEB">
      <w:pPr>
        <w:widowControl/>
        <w:adjustRightInd w:val="0"/>
        <w:ind w:firstLine="640" w:firstLineChars="200"/>
        <w:rPr>
          <w:rFonts w:ascii="仿宋" w:hAnsi="仿宋" w:eastAsia="仿宋"/>
          <w:sz w:val="32"/>
          <w:szCs w:val="32"/>
        </w:rPr>
      </w:pPr>
      <w:r>
        <w:rPr>
          <w:rFonts w:hint="eastAsia" w:ascii="仿宋" w:hAnsi="仿宋" w:eastAsia="仿宋"/>
          <w:sz w:val="32"/>
          <w:szCs w:val="32"/>
        </w:rPr>
        <w:t>3.大连新源动力有限公司组织对单位开展了一次全方位安全检查，对检查发现的问题和隐患要逐项逐条落实整改，尤其是升降平台施工现场，整改情况经报主管部门同意后方可重新组织作业，做到隐患不消除不生产、风险管控措施不落实不作业。</w:t>
      </w:r>
      <w:r>
        <w:rPr>
          <w:rFonts w:hint="eastAsia" w:ascii="仿宋" w:hAnsi="仿宋" w:eastAsia="仿宋"/>
          <w:sz w:val="32"/>
          <w:szCs w:val="32"/>
        </w:rPr>
        <w:br w:type="textWrapping"/>
      </w:r>
      <w:r>
        <w:rPr>
          <w:rFonts w:hint="eastAsia" w:ascii="仿宋" w:hAnsi="仿宋" w:eastAsia="仿宋"/>
          <w:sz w:val="32"/>
          <w:szCs w:val="32"/>
        </w:rPr>
        <w:t>　　4.大连新源动力股份有限公司立即对公司人员开展了事故警示教育,分析事故原因，制定防范措施，堵塞事故漏洞。制定了安全生产教育和培训计划，加强员工安全常识和操作规程教育培训，提高风险辨识能力和事故防范意识。</w:t>
      </w:r>
    </w:p>
    <w:p w14:paraId="1F91AF3D">
      <w:pPr>
        <w:widowControl/>
        <w:adjustRightInd w:val="0"/>
        <w:ind w:firstLine="640" w:firstLineChars="200"/>
        <w:rPr>
          <w:rFonts w:ascii="黑体" w:hAnsi="黑体" w:eastAsia="黑体"/>
          <w:sz w:val="32"/>
          <w:szCs w:val="32"/>
        </w:rPr>
      </w:pPr>
      <w:r>
        <w:rPr>
          <w:rFonts w:hint="eastAsia" w:ascii="黑体" w:hAnsi="黑体" w:eastAsia="黑体"/>
          <w:sz w:val="32"/>
          <w:szCs w:val="32"/>
        </w:rPr>
        <w:t>六、评估组评估意见</w:t>
      </w:r>
    </w:p>
    <w:p w14:paraId="32FC79D9">
      <w:pPr>
        <w:widowControl/>
        <w:adjustRightInd w:val="0"/>
        <w:ind w:firstLine="640" w:firstLineChars="200"/>
        <w:rPr>
          <w:rFonts w:ascii="仿宋" w:hAnsi="仿宋" w:eastAsia="仿宋"/>
          <w:sz w:val="32"/>
          <w:szCs w:val="32"/>
        </w:rPr>
      </w:pPr>
      <w:r>
        <w:rPr>
          <w:rFonts w:hint="eastAsia" w:ascii="仿宋" w:hAnsi="仿宋" w:eastAsia="仿宋"/>
          <w:sz w:val="32"/>
          <w:szCs w:val="32"/>
        </w:rPr>
        <w:t>评估组通过审查有关材料最终形成评审意见，事故责任单位对评估中发现的问题已按要求整改到位，《大连新源动力股份</w:t>
      </w:r>
      <w:r>
        <w:rPr>
          <w:rFonts w:hint="eastAsia" w:ascii="仿宋" w:hAnsi="仿宋" w:eastAsia="仿宋"/>
          <w:sz w:val="32"/>
          <w:szCs w:val="32"/>
          <w:lang w:eastAsia="zh-CN"/>
        </w:rPr>
        <w:t>有</w:t>
      </w:r>
      <w:bookmarkStart w:id="3" w:name="_GoBack"/>
      <w:bookmarkEnd w:id="3"/>
      <w:r>
        <w:rPr>
          <w:rFonts w:hint="eastAsia" w:ascii="仿宋" w:hAnsi="仿宋" w:eastAsia="仿宋"/>
          <w:sz w:val="32"/>
          <w:szCs w:val="32"/>
        </w:rPr>
        <w:t>限公司“11</w:t>
      </w:r>
      <w:r>
        <w:rPr>
          <w:rFonts w:hint="eastAsia" w:ascii="微软雅黑" w:hAnsi="微软雅黑" w:eastAsia="微软雅黑" w:cs="微软雅黑"/>
          <w:sz w:val="32"/>
          <w:szCs w:val="32"/>
        </w:rPr>
        <w:t>•</w:t>
      </w:r>
      <w:r>
        <w:rPr>
          <w:rFonts w:hint="eastAsia" w:ascii="仿宋" w:hAnsi="仿宋" w:eastAsia="仿宋"/>
          <w:sz w:val="32"/>
          <w:szCs w:val="32"/>
        </w:rPr>
        <w:t>13”一般机械伤害事故》整改落实情况评估工作结束。</w:t>
      </w:r>
    </w:p>
    <w:p w14:paraId="1ADB46A3">
      <w:pPr>
        <w:widowControl/>
        <w:adjustRightInd w:val="0"/>
        <w:ind w:firstLine="640" w:firstLineChars="200"/>
        <w:rPr>
          <w:rFonts w:ascii="仿宋" w:hAnsi="仿宋" w:eastAsia="仿宋"/>
          <w:sz w:val="32"/>
          <w:szCs w:val="32"/>
        </w:rPr>
      </w:pPr>
    </w:p>
    <w:p w14:paraId="693195A8">
      <w:pPr>
        <w:widowControl/>
        <w:adjustRightInd w:val="0"/>
        <w:ind w:firstLine="640" w:firstLineChars="200"/>
        <w:rPr>
          <w:rFonts w:ascii="仿宋" w:hAnsi="仿宋" w:eastAsia="仿宋"/>
          <w:sz w:val="32"/>
          <w:szCs w:val="32"/>
        </w:rPr>
      </w:pPr>
    </w:p>
    <w:p w14:paraId="2E4741F2">
      <w:pPr>
        <w:widowControl/>
        <w:adjustRightInd w:val="0"/>
        <w:ind w:firstLine="640" w:firstLineChars="200"/>
        <w:rPr>
          <w:rFonts w:ascii="仿宋" w:hAnsi="仿宋" w:eastAsia="仿宋"/>
          <w:sz w:val="32"/>
          <w:szCs w:val="32"/>
        </w:rPr>
      </w:pPr>
    </w:p>
    <w:p w14:paraId="7EB9BAAD">
      <w:pPr>
        <w:widowControl/>
        <w:adjustRightInd w:val="0"/>
        <w:ind w:firstLine="640" w:firstLineChars="200"/>
        <w:rPr>
          <w:rFonts w:ascii="仿宋" w:hAnsi="仿宋" w:eastAsia="仿宋"/>
          <w:sz w:val="32"/>
          <w:szCs w:val="32"/>
        </w:rPr>
      </w:pPr>
    </w:p>
    <w:p w14:paraId="3F87A2FA">
      <w:pPr>
        <w:widowControl/>
        <w:adjustRightInd w:val="0"/>
        <w:rPr>
          <w:rFonts w:ascii="仿宋" w:hAnsi="仿宋" w:eastAsia="仿宋"/>
          <w:sz w:val="32"/>
          <w:szCs w:val="32"/>
        </w:rPr>
      </w:pPr>
    </w:p>
    <w:p w14:paraId="51842C4F">
      <w:pPr>
        <w:widowControl/>
        <w:adjustRightInd w:val="0"/>
        <w:ind w:firstLine="2240" w:firstLineChars="700"/>
        <w:rPr>
          <w:rFonts w:ascii="仿宋" w:hAnsi="仿宋" w:eastAsia="仿宋"/>
          <w:sz w:val="32"/>
          <w:szCs w:val="32"/>
        </w:rPr>
      </w:pPr>
      <w:r>
        <w:rPr>
          <w:rFonts w:hint="eastAsia" w:ascii="仿宋" w:hAnsi="仿宋" w:eastAsia="仿宋"/>
          <w:sz w:val="32"/>
          <w:szCs w:val="32"/>
        </w:rPr>
        <w:t>高新区</w:t>
      </w:r>
      <w:bookmarkStart w:id="2" w:name="_Hlk90369017"/>
      <w:r>
        <w:rPr>
          <w:rFonts w:hint="eastAsia" w:ascii="仿宋" w:hAnsi="仿宋" w:eastAsia="仿宋"/>
          <w:sz w:val="32"/>
          <w:szCs w:val="32"/>
        </w:rPr>
        <w:t>“11.13”一般机械伤害事故评估组</w:t>
      </w:r>
    </w:p>
    <w:bookmarkEnd w:id="2"/>
    <w:p w14:paraId="56A4A438">
      <w:pPr>
        <w:widowControl/>
        <w:adjustRightInd w:val="0"/>
        <w:ind w:firstLine="640" w:firstLineChars="200"/>
        <w:rPr>
          <w:rFonts w:ascii="仿宋" w:hAnsi="仿宋" w:eastAsia="仿宋"/>
          <w:sz w:val="32"/>
          <w:szCs w:val="32"/>
        </w:rPr>
      </w:pPr>
      <w:r>
        <w:rPr>
          <w:rFonts w:hint="eastAsia" w:ascii="仿宋" w:hAnsi="仿宋" w:eastAsia="仿宋"/>
          <w:sz w:val="32"/>
          <w:szCs w:val="32"/>
        </w:rPr>
        <w:t xml:space="preserve">                         2021年11月3日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0560112"/>
      <w:docPartObj>
        <w:docPartGallery w:val="AutoText"/>
      </w:docPartObj>
    </w:sdtPr>
    <w:sdtContent>
      <w:p w14:paraId="4C215715">
        <w:pPr>
          <w:pStyle w:val="2"/>
          <w:jc w:val="center"/>
        </w:pPr>
        <w:r>
          <w:fldChar w:fldCharType="begin"/>
        </w:r>
        <w:r>
          <w:instrText xml:space="preserve">PAGE   \* MERGEFORMAT</w:instrText>
        </w:r>
        <w:r>
          <w:fldChar w:fldCharType="separate"/>
        </w:r>
        <w:r>
          <w:rPr>
            <w:lang w:val="zh-CN"/>
          </w:rPr>
          <w:t>2</w:t>
        </w:r>
        <w:r>
          <w:fldChar w:fldCharType="end"/>
        </w:r>
      </w:p>
    </w:sdtContent>
  </w:sdt>
  <w:p w14:paraId="511CB3F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90E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79CA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94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E417">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915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22B19"/>
    <w:rsid w:val="00163144"/>
    <w:rsid w:val="004141DA"/>
    <w:rsid w:val="00573D8E"/>
    <w:rsid w:val="00A67E70"/>
    <w:rsid w:val="1E0D7A38"/>
    <w:rsid w:val="1E422B19"/>
    <w:rsid w:val="20774D27"/>
    <w:rsid w:val="3D960857"/>
    <w:rsid w:val="5BD902C5"/>
    <w:rsid w:val="63815DA7"/>
    <w:rsid w:val="7E41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395</Words>
  <Characters>2253</Characters>
  <Lines>18</Lines>
  <Paragraphs>5</Paragraphs>
  <TotalTime>93</TotalTime>
  <ScaleCrop>false</ScaleCrop>
  <LinksUpToDate>false</LinksUpToDate>
  <CharactersWithSpaces>2643</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2021-10-19T01:28:00Z</dcterms:created>
  <dc:creator>毛毛</dc:creator>
  <cp:lastModifiedBy>Administrator</cp:lastModifiedBy>
  <cp:lastPrinted>2021-12-14T02:07:00Z</cp:lastPrinted>
  <dcterms:modified xsi:type="dcterms:W3CDTF">2025-12-19T03:08:55Z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8FDC71E050AB4F3798E5FCB1104CA90E</vt:lpwstr>
  </property>
</Properties>
</file>