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AA220">
      <w:pPr>
        <w:spacing w:line="600" w:lineRule="exact"/>
        <w:rPr>
          <w:rFonts w:ascii="仿宋_GB2312" w:eastAsia="仿宋_GB2312"/>
          <w:sz w:val="32"/>
          <w:szCs w:val="32"/>
        </w:rPr>
      </w:pPr>
      <w:bookmarkStart w:id="0" w:name="_GoBack"/>
      <w:bookmarkEnd w:id="0"/>
    </w:p>
    <w:p w14:paraId="36812656">
      <w:pPr>
        <w:widowControl/>
        <w:spacing w:line="330" w:lineRule="atLeast"/>
        <w:jc w:val="center"/>
        <w:rPr>
          <w:rFonts w:ascii="仿宋" w:hAnsi="仿宋" w:eastAsia="仿宋" w:cs="仿宋"/>
          <w:b/>
          <w:bCs/>
          <w:color w:val="000000"/>
          <w:kern w:val="0"/>
          <w:sz w:val="36"/>
          <w:szCs w:val="36"/>
        </w:rPr>
      </w:pPr>
      <w:r>
        <w:rPr>
          <w:rFonts w:hint="eastAsia" w:ascii="仿宋" w:hAnsi="仿宋" w:eastAsia="仿宋" w:cs="仿宋"/>
          <w:b/>
          <w:bCs/>
          <w:sz w:val="36"/>
          <w:szCs w:val="36"/>
        </w:rPr>
        <w:t>高新区动漫游产业管理办公室</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633F47D2">
      <w:pPr>
        <w:widowControl/>
        <w:spacing w:line="330" w:lineRule="atLeast"/>
        <w:jc w:val="center"/>
        <w:rPr>
          <w:rFonts w:ascii="仿宋" w:hAnsi="仿宋" w:eastAsia="仿宋" w:cs="仿宋"/>
          <w:b/>
          <w:bCs/>
          <w:color w:val="000000"/>
          <w:kern w:val="0"/>
          <w:sz w:val="30"/>
          <w:szCs w:val="30"/>
        </w:rPr>
      </w:pPr>
    </w:p>
    <w:p w14:paraId="28B9C3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94AC03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FDA653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、负责园区动漫游产业发展规划制定及动漫游产业孵化器、技术服务平台及相关工程项目的建设和管理；</w:t>
      </w:r>
    </w:p>
    <w:p w14:paraId="00A7B23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、负责园区动漫游企业认定、管理及服务工作，参与动漫游产业招商引资工作，会同园区财政部门管理动漫游专项资金；</w:t>
      </w:r>
    </w:p>
    <w:p w14:paraId="20DD871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、负责编制上报区域内土地开发年度计划，包括各种市政基础设施配套计划；</w:t>
      </w:r>
    </w:p>
    <w:p w14:paraId="0799529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、负责组织区域内财政投资项目的实施；</w:t>
      </w:r>
    </w:p>
    <w:p w14:paraId="3BBE58C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、负责组织区域内配套基础设施专项规划设计及设计修改初审报批工作。</w:t>
      </w:r>
    </w:p>
    <w:p w14:paraId="31F9CCC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3A300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动漫游产业管理办公室</w:t>
      </w:r>
      <w:r>
        <w:rPr>
          <w:rFonts w:hint="eastAsia" w:ascii="仿宋" w:hAnsi="仿宋" w:eastAsia="仿宋" w:cs="仿宋"/>
          <w:color w:val="000000"/>
          <w:kern w:val="0"/>
          <w:sz w:val="30"/>
          <w:szCs w:val="30"/>
        </w:rPr>
        <w:t>部门预算为本部综合收支计划，无二级单位。</w:t>
      </w:r>
    </w:p>
    <w:p w14:paraId="195BD99C">
      <w:pPr>
        <w:widowControl/>
        <w:spacing w:line="330" w:lineRule="atLeast"/>
        <w:ind w:firstLine="600" w:firstLineChars="200"/>
        <w:jc w:val="left"/>
        <w:rPr>
          <w:rFonts w:ascii="仿宋" w:hAnsi="仿宋" w:eastAsia="仿宋" w:cs="仿宋"/>
          <w:color w:val="000000"/>
          <w:kern w:val="0"/>
          <w:sz w:val="30"/>
          <w:szCs w:val="30"/>
        </w:rPr>
      </w:pPr>
    </w:p>
    <w:p w14:paraId="4F5ECE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AD9D2E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58A1BC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88.6</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28.6</w:t>
      </w:r>
      <w:r>
        <w:rPr>
          <w:rFonts w:hint="eastAsia" w:ascii="仿宋" w:hAnsi="仿宋" w:eastAsia="仿宋" w:cs="仿宋"/>
          <w:sz w:val="30"/>
          <w:szCs w:val="30"/>
        </w:rPr>
        <w:t>万元，商品和服务支出</w:t>
      </w:r>
      <w:r>
        <w:rPr>
          <w:rFonts w:ascii="仿宋" w:hAnsi="仿宋" w:eastAsia="仿宋" w:cs="仿宋"/>
          <w:sz w:val="30"/>
          <w:szCs w:val="30"/>
        </w:rPr>
        <w:t>60</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年预算数减少51.1万元，其中财政拨款收入比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年预算数减少51.1万元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w:t>
      </w:r>
      <w:r>
        <w:rPr>
          <w:rFonts w:ascii="仿宋" w:hAnsi="仿宋" w:eastAsia="仿宋" w:cs="仿宋"/>
          <w:color w:val="000000"/>
          <w:kern w:val="0"/>
          <w:sz w:val="30"/>
          <w:szCs w:val="30"/>
        </w:rPr>
        <w:t>51.1</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工资福利和对个人家庭补助支出减少</w:t>
      </w:r>
      <w:r>
        <w:rPr>
          <w:rFonts w:ascii="仿宋" w:hAnsi="仿宋" w:eastAsia="仿宋" w:cs="仿宋"/>
          <w:sz w:val="30"/>
          <w:szCs w:val="30"/>
        </w:rPr>
        <w:t>31.3</w:t>
      </w:r>
      <w:r>
        <w:rPr>
          <w:rFonts w:hint="eastAsia" w:ascii="仿宋" w:hAnsi="仿宋" w:eastAsia="仿宋" w:cs="仿宋"/>
          <w:sz w:val="30"/>
          <w:szCs w:val="30"/>
        </w:rPr>
        <w:t>万元，商品和服务支出减少</w:t>
      </w:r>
      <w:r>
        <w:rPr>
          <w:rFonts w:ascii="仿宋" w:hAnsi="仿宋" w:eastAsia="仿宋" w:cs="仿宋"/>
          <w:sz w:val="30"/>
          <w:szCs w:val="30"/>
        </w:rPr>
        <w:t>19.8</w:t>
      </w:r>
      <w:r>
        <w:rPr>
          <w:rFonts w:hint="eastAsia" w:ascii="仿宋" w:hAnsi="仿宋" w:eastAsia="仿宋" w:cs="仿宋"/>
          <w:sz w:val="30"/>
          <w:szCs w:val="30"/>
        </w:rPr>
        <w:t>万元。</w:t>
      </w:r>
    </w:p>
    <w:p w14:paraId="0DD8883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D753433">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91EB8C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0D742C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万元。</w:t>
      </w:r>
    </w:p>
    <w:p w14:paraId="457F771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A3691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6512F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9FE29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06B691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5278D4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国有资产占有使用情况说明为：截至2019年12月31日，部门（单位）共有车辆1辆；单位价值50万元（含）以上通用设备0台（套）；单位价值100万元以上专用设备0台（套）。</w:t>
      </w:r>
    </w:p>
    <w:p w14:paraId="662C777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D9873ED">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6</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51FF48FD">
      <w:pPr>
        <w:ind w:firstLine="750" w:firstLineChars="25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八、大连市文化产业发展专项资金审计项目情况</w:t>
      </w:r>
    </w:p>
    <w:p w14:paraId="0A925C9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228C59D7">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大连市文化产业发展专项资金审计费，主要大连市文化产业发展专项资金专项审计。</w:t>
      </w:r>
    </w:p>
    <w:p w14:paraId="762BEBF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46482A3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（1）立项依据：根据大连市文化产业发展领导小组办公室、大连市财政局下发的：大文产办发〔2019〕1号、大文产办发〔2019〕2号文件所规定的职能安排，结合我办任务，制定全年的审计费用。</w:t>
      </w:r>
    </w:p>
    <w:p w14:paraId="43424E7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（2）立项依据可包含以下内容：</w:t>
      </w:r>
    </w:p>
    <w:p w14:paraId="00DE121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①贯彻落实市委、市政府关于加快文化产业发展的总体部署；</w:t>
      </w:r>
    </w:p>
    <w:p w14:paraId="05FB6DC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②专项资金的管理和使用体现出我市文化产业发展战略和规划；</w:t>
      </w:r>
    </w:p>
    <w:p w14:paraId="26DFDFD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③项目符合国家宏观经济政策。区域发展政策以及公共财政基本要求。</w:t>
      </w:r>
    </w:p>
    <w:p w14:paraId="372D8DE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39954A2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大连市文化产业发展领导小组办公室是项目具体组织实施的部门。</w:t>
      </w:r>
    </w:p>
    <w:p w14:paraId="061787F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208B7A1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市文化产业发展领导小组办公室负责专项资金项目申报、调研、审核、评审和公示工作；根据专项资金评审结果，提出年度专项资金分配使用计划；负责建立资助企业和资助项目的档案并进行管理，对项目实施跟踪管理、监督检查和绩效考评。</w:t>
      </w:r>
    </w:p>
    <w:p w14:paraId="750FD40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②市财政局负责专项资金预算管理，对履行完审批程序的项目下达专项，办理专项资金核拨，监督检查专项资金的管理和使用情况；</w:t>
      </w:r>
    </w:p>
    <w:p w14:paraId="3C2B2E2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③各区市县、开放先导区文产办按照属地化管理原则，负责组织做好本地区文化企事业单位项目申报、初审、日常监管和绩效考评工作；负责会同同级财政部门联合上报本地区项目资金申请及相关材料；</w:t>
      </w:r>
    </w:p>
    <w:p w14:paraId="2315A2D5">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fldChar w:fldCharType="begin"/>
      </w:r>
      <w:r>
        <w:rPr>
          <w:rFonts w:ascii="仿宋" w:hAnsi="仿宋" w:eastAsia="仿宋" w:cs="仿宋"/>
          <w:color w:val="000000"/>
          <w:kern w:val="0"/>
          <w:sz w:val="30"/>
          <w:szCs w:val="30"/>
        </w:rPr>
        <w:instrText xml:space="preserve"> </w:instrText>
      </w:r>
      <w:r>
        <w:rPr>
          <w:rFonts w:hint="eastAsia" w:ascii="仿宋" w:hAnsi="仿宋" w:eastAsia="仿宋" w:cs="仿宋"/>
          <w:color w:val="000000"/>
          <w:kern w:val="0"/>
          <w:sz w:val="30"/>
          <w:szCs w:val="30"/>
        </w:rPr>
        <w:instrText xml:space="preserve">= 4 \* GB3</w:instrText>
      </w:r>
      <w:r>
        <w:rPr>
          <w:rFonts w:ascii="仿宋" w:hAnsi="仿宋" w:eastAsia="仿宋" w:cs="仿宋"/>
          <w:color w:val="000000"/>
          <w:kern w:val="0"/>
          <w:sz w:val="30"/>
          <w:szCs w:val="30"/>
        </w:rPr>
        <w:instrText xml:space="preserve"> </w:instrText>
      </w:r>
      <w:r>
        <w:rPr>
          <w:rFonts w:ascii="仿宋" w:hAnsi="仿宋" w:eastAsia="仿宋" w:cs="仿宋"/>
          <w:color w:val="000000"/>
          <w:kern w:val="0"/>
          <w:sz w:val="30"/>
          <w:szCs w:val="30"/>
        </w:rPr>
        <w:fldChar w:fldCharType="separate"/>
      </w:r>
      <w:r>
        <w:rPr>
          <w:rFonts w:hint="eastAsia" w:ascii="仿宋" w:hAnsi="仿宋" w:eastAsia="仿宋" w:cs="仿宋"/>
          <w:color w:val="000000"/>
          <w:kern w:val="0"/>
          <w:sz w:val="30"/>
          <w:szCs w:val="30"/>
        </w:rPr>
        <w:t>④</w:t>
      </w:r>
      <w:r>
        <w:rPr>
          <w:rFonts w:ascii="仿宋" w:hAnsi="仿宋" w:eastAsia="仿宋" w:cs="仿宋"/>
          <w:color w:val="000000"/>
          <w:kern w:val="0"/>
          <w:sz w:val="30"/>
          <w:szCs w:val="30"/>
        </w:rPr>
        <w:fldChar w:fldCharType="end"/>
      </w:r>
      <w:r>
        <w:rPr>
          <w:rFonts w:hint="eastAsia" w:ascii="仿宋" w:hAnsi="仿宋" w:eastAsia="仿宋" w:cs="仿宋"/>
          <w:color w:val="000000"/>
          <w:kern w:val="0"/>
          <w:sz w:val="30"/>
          <w:szCs w:val="30"/>
        </w:rPr>
        <w:t>项目实施方案为大连市文化产业发展领导小组办公室和大连市财政局联合下发的《大连市文化产业发展专项资金管理办法》文件，没有任何替代方案。</w:t>
      </w:r>
    </w:p>
    <w:p w14:paraId="22C9A45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FBB505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项目从2020年1月1日至2020年12月31日终止。</w:t>
      </w:r>
    </w:p>
    <w:p w14:paraId="30803CC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649AC42">
      <w:pPr>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2020年拟安排该项目一般公共预算2万元。</w:t>
      </w:r>
    </w:p>
    <w:p w14:paraId="7CD7F0D1">
      <w:pPr>
        <w:ind w:left="640"/>
        <w:rPr>
          <w:rFonts w:ascii="仿宋" w:hAnsi="仿宋" w:eastAsia="仿宋" w:cs="仿宋"/>
          <w:color w:val="000000"/>
          <w:kern w:val="0"/>
          <w:sz w:val="30"/>
          <w:szCs w:val="30"/>
        </w:rPr>
      </w:pPr>
    </w:p>
    <w:p w14:paraId="44DD13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0BFF9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19B73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6733B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22161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4A629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7E4AEE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CA349D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D3E72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EC042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4E66FB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21FD73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C0544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D914A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9C310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899B1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AF667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1F08C6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C6FB2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06082B0">
      <w:pPr>
        <w:widowControl/>
        <w:spacing w:line="330" w:lineRule="atLeast"/>
        <w:ind w:firstLine="600" w:firstLineChars="200"/>
        <w:jc w:val="left"/>
        <w:rPr>
          <w:rFonts w:ascii="仿宋" w:hAnsi="仿宋" w:eastAsia="仿宋"/>
          <w:color w:val="000000"/>
          <w:sz w:val="30"/>
          <w:szCs w:val="30"/>
        </w:rPr>
      </w:pPr>
    </w:p>
    <w:p w14:paraId="068F79DB">
      <w:pPr>
        <w:spacing w:line="600" w:lineRule="exact"/>
        <w:rPr>
          <w:rFonts w:ascii="仿宋" w:hAnsi="仿宋" w:eastAsia="仿宋"/>
          <w:sz w:val="30"/>
          <w:szCs w:val="30"/>
        </w:rPr>
      </w:pP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p w14:paraId="21CCECA2">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A43"/>
    <w:rsid w:val="00006BAA"/>
    <w:rsid w:val="000276C4"/>
    <w:rsid w:val="000302D0"/>
    <w:rsid w:val="00033C1E"/>
    <w:rsid w:val="00061049"/>
    <w:rsid w:val="0008698E"/>
    <w:rsid w:val="0009465E"/>
    <w:rsid w:val="000B1446"/>
    <w:rsid w:val="000B7960"/>
    <w:rsid w:val="000D1205"/>
    <w:rsid w:val="000D2102"/>
    <w:rsid w:val="00144C39"/>
    <w:rsid w:val="001538FA"/>
    <w:rsid w:val="001961A4"/>
    <w:rsid w:val="001C0B6B"/>
    <w:rsid w:val="001C35EC"/>
    <w:rsid w:val="001E3E93"/>
    <w:rsid w:val="001E5DB0"/>
    <w:rsid w:val="0020517A"/>
    <w:rsid w:val="00242BEF"/>
    <w:rsid w:val="00264775"/>
    <w:rsid w:val="00272E01"/>
    <w:rsid w:val="002C267D"/>
    <w:rsid w:val="002E5C88"/>
    <w:rsid w:val="002F344A"/>
    <w:rsid w:val="00312E87"/>
    <w:rsid w:val="0035602B"/>
    <w:rsid w:val="003606FC"/>
    <w:rsid w:val="00384E82"/>
    <w:rsid w:val="00387008"/>
    <w:rsid w:val="003956B6"/>
    <w:rsid w:val="003C30F0"/>
    <w:rsid w:val="00413762"/>
    <w:rsid w:val="00414265"/>
    <w:rsid w:val="0041540B"/>
    <w:rsid w:val="00443CF6"/>
    <w:rsid w:val="004A4430"/>
    <w:rsid w:val="004D6B1C"/>
    <w:rsid w:val="004E2426"/>
    <w:rsid w:val="004E776E"/>
    <w:rsid w:val="004F5495"/>
    <w:rsid w:val="00505E18"/>
    <w:rsid w:val="00542D32"/>
    <w:rsid w:val="005A04CC"/>
    <w:rsid w:val="005C04D5"/>
    <w:rsid w:val="00603AC3"/>
    <w:rsid w:val="00630ADC"/>
    <w:rsid w:val="00645021"/>
    <w:rsid w:val="00671FCA"/>
    <w:rsid w:val="00686E0E"/>
    <w:rsid w:val="006870F4"/>
    <w:rsid w:val="006B40D4"/>
    <w:rsid w:val="006C2EC6"/>
    <w:rsid w:val="006E2575"/>
    <w:rsid w:val="00712A8E"/>
    <w:rsid w:val="0072410A"/>
    <w:rsid w:val="00755C7B"/>
    <w:rsid w:val="007805EB"/>
    <w:rsid w:val="00793572"/>
    <w:rsid w:val="008523B7"/>
    <w:rsid w:val="008620BC"/>
    <w:rsid w:val="008C2FE8"/>
    <w:rsid w:val="008C5631"/>
    <w:rsid w:val="008D1812"/>
    <w:rsid w:val="008D2AF9"/>
    <w:rsid w:val="008D3D4A"/>
    <w:rsid w:val="008E71B9"/>
    <w:rsid w:val="00907373"/>
    <w:rsid w:val="00925E6F"/>
    <w:rsid w:val="00937B69"/>
    <w:rsid w:val="00944695"/>
    <w:rsid w:val="00961681"/>
    <w:rsid w:val="009753FE"/>
    <w:rsid w:val="009805C4"/>
    <w:rsid w:val="009C3C17"/>
    <w:rsid w:val="009E6FAC"/>
    <w:rsid w:val="009F04FF"/>
    <w:rsid w:val="009F1015"/>
    <w:rsid w:val="00A12672"/>
    <w:rsid w:val="00A24946"/>
    <w:rsid w:val="00A25734"/>
    <w:rsid w:val="00A96C7E"/>
    <w:rsid w:val="00AA4E12"/>
    <w:rsid w:val="00AC0C24"/>
    <w:rsid w:val="00B01DBC"/>
    <w:rsid w:val="00B57D53"/>
    <w:rsid w:val="00B94226"/>
    <w:rsid w:val="00BF7015"/>
    <w:rsid w:val="00C2669F"/>
    <w:rsid w:val="00C638B7"/>
    <w:rsid w:val="00C83C2A"/>
    <w:rsid w:val="00CA50A6"/>
    <w:rsid w:val="00CC2DF6"/>
    <w:rsid w:val="00CC4A7F"/>
    <w:rsid w:val="00CE2D6D"/>
    <w:rsid w:val="00D06A98"/>
    <w:rsid w:val="00D22195"/>
    <w:rsid w:val="00D5209B"/>
    <w:rsid w:val="00D97C8B"/>
    <w:rsid w:val="00DB030D"/>
    <w:rsid w:val="00DC1136"/>
    <w:rsid w:val="00DD605A"/>
    <w:rsid w:val="00E502AE"/>
    <w:rsid w:val="00E60B99"/>
    <w:rsid w:val="00EB6736"/>
    <w:rsid w:val="00EB6E55"/>
    <w:rsid w:val="00EC3BF4"/>
    <w:rsid w:val="00EE134B"/>
    <w:rsid w:val="00EE35B6"/>
    <w:rsid w:val="00F01060"/>
    <w:rsid w:val="00FB1F20"/>
    <w:rsid w:val="00FD7251"/>
    <w:rsid w:val="00FE2AF9"/>
    <w:rsid w:val="3A346F6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2736</Words>
  <Characters>2838</Characters>
  <Lines>21</Lines>
  <Paragraphs>5</Paragraphs>
  <TotalTime>33</TotalTime>
  <ScaleCrop>false</ScaleCrop>
  <LinksUpToDate>false</LinksUpToDate>
  <CharactersWithSpaces>2882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2025-12-19T06:25:42Z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9FD9B89CE5854F66AC1D2C0E0D788ED9_12</vt:lpwstr>
  </property>
</Properties>
</file>