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BCBFF">
      <w:pPr>
        <w:spacing w:line="600" w:lineRule="exact"/>
        <w:rPr>
          <w:rFonts w:ascii="仿宋_GB2312" w:eastAsia="仿宋_GB2312"/>
          <w:sz w:val="32"/>
          <w:szCs w:val="32"/>
        </w:rPr>
      </w:pPr>
      <w:bookmarkStart w:id="0" w:name="_GoBack"/>
      <w:bookmarkEnd w:id="0"/>
    </w:p>
    <w:p w14:paraId="3D5620F7">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高新区劳动仲裁院</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070C718C">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F08E3F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5AFF2E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0A76B36">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、负责劳动人事和社会保障方面的争议仲裁工作；</w:t>
      </w:r>
    </w:p>
    <w:p w14:paraId="467D2A7A">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、作为园区劳动人事争议仲裁委员会的办事机构，办理仲裁委员会的日常事务；</w:t>
      </w:r>
    </w:p>
    <w:p w14:paraId="66A6A602">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、决定受理或不受理劳动人事争议案件；</w:t>
      </w:r>
    </w:p>
    <w:p w14:paraId="0B508FD8">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、指派仲裁人员对劳动人事争议案件进行调查取证；</w:t>
      </w:r>
    </w:p>
    <w:p w14:paraId="58628C27">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、根据仲裁委员会授权处理劳动人事争议案件；</w:t>
      </w:r>
    </w:p>
    <w:p w14:paraId="6C93B612">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、向仲裁委员会提报需要仲裁的劳动人事争议案件；</w:t>
      </w:r>
    </w:p>
    <w:p w14:paraId="0C66374F">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、负责仲裁委员会的文书档案工作；</w:t>
      </w:r>
    </w:p>
    <w:p w14:paraId="6C7A1982">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、搞好调查研究、总结、交流办案经验；</w:t>
      </w:r>
    </w:p>
    <w:p w14:paraId="1E1937E6">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、处理与劳动人事争议有关的其它事项；</w:t>
      </w:r>
    </w:p>
    <w:p w14:paraId="246911C1">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、定期向仲裁委员会汇报工作。</w:t>
      </w:r>
    </w:p>
    <w:p w14:paraId="205AF93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78DFE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年劳动仲裁院部门预算为本部综合收支计划，无二级单位。</w:t>
      </w:r>
    </w:p>
    <w:p w14:paraId="6B083DB6">
      <w:pPr>
        <w:widowControl/>
        <w:spacing w:line="330" w:lineRule="atLeast"/>
        <w:ind w:firstLine="600" w:firstLineChars="200"/>
        <w:jc w:val="left"/>
        <w:rPr>
          <w:rFonts w:ascii="仿宋" w:hAnsi="仿宋" w:eastAsia="仿宋" w:cs="仿宋"/>
          <w:color w:val="000000"/>
          <w:kern w:val="0"/>
          <w:sz w:val="30"/>
          <w:szCs w:val="30"/>
        </w:rPr>
      </w:pPr>
    </w:p>
    <w:p w14:paraId="1DB6D7E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06E64A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A7EBC15">
      <w:pPr>
        <w:widowControl/>
        <w:spacing w:line="330" w:lineRule="atLeast"/>
        <w:ind w:firstLine="600" w:firstLineChars="200"/>
        <w:jc w:val="left"/>
        <w:rPr>
          <w:rFonts w:asci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149</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113.5</w:t>
      </w:r>
      <w:r>
        <w:rPr>
          <w:rFonts w:hint="eastAsia" w:ascii="仿宋" w:hAnsi="仿宋" w:eastAsia="仿宋" w:cs="仿宋"/>
          <w:sz w:val="30"/>
          <w:szCs w:val="30"/>
        </w:rPr>
        <w:t>万元，商品和服务支出35.5万元。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年预算数增加0.9万元，其中财政拨款收入比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年预算数增加0.9万元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w:t>
      </w:r>
      <w:r>
        <w:rPr>
          <w:rFonts w:hint="eastAsia" w:ascii="仿宋" w:eastAsia="仿宋" w:cs="仿宋"/>
          <w:color w:val="000000"/>
          <w:kern w:val="0"/>
          <w:sz w:val="30"/>
          <w:szCs w:val="30"/>
        </w:rPr>
        <w:t>比</w:t>
      </w:r>
      <w:r>
        <w:rPr>
          <w:rFonts w:ascii="仿宋" w:eastAsia="仿宋" w:cs="仿宋"/>
          <w:color w:val="000000"/>
          <w:kern w:val="0"/>
          <w:sz w:val="30"/>
          <w:szCs w:val="30"/>
        </w:rPr>
        <w:t>2019</w:t>
      </w:r>
      <w:r>
        <w:rPr>
          <w:rFonts w:hint="eastAsia" w:ascii="仿宋" w:eastAsia="仿宋" w:cs="仿宋"/>
          <w:color w:val="000000"/>
          <w:kern w:val="0"/>
          <w:sz w:val="30"/>
          <w:szCs w:val="30"/>
        </w:rPr>
        <w:t>年预算数增加0.9万元，其中</w:t>
      </w:r>
      <w:r>
        <w:rPr>
          <w:rFonts w:hint="eastAsia" w:ascii="仿宋" w:eastAsia="仿宋" w:cs="仿宋"/>
          <w:sz w:val="30"/>
          <w:szCs w:val="30"/>
        </w:rPr>
        <w:t>工资福利和对个人家庭补助支出增加1.2万元，商品和服务支出减少0.3万元。</w:t>
      </w:r>
    </w:p>
    <w:p w14:paraId="39B1684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5CEA222">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6FDED6C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17E10C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3.2</w:t>
      </w:r>
      <w:r>
        <w:rPr>
          <w:rFonts w:hint="eastAsia" w:ascii="仿宋" w:hAnsi="仿宋" w:eastAsia="仿宋" w:cs="仿宋"/>
          <w:color w:val="000000"/>
          <w:kern w:val="0"/>
          <w:sz w:val="30"/>
          <w:szCs w:val="30"/>
        </w:rPr>
        <w:t>万元。</w:t>
      </w:r>
    </w:p>
    <w:p w14:paraId="477C10B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A47290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0A99B0B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AB1667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9CCA00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FF7D502">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国有资产占有使用情况说明为：截至2019年12月31日，部门（单位）共有车辆1辆；单位价值50万元（含）以上通用设备0台（套）；单位价值100万元以上专用设备0台（套）。</w:t>
      </w:r>
    </w:p>
    <w:p w14:paraId="5B5ADAA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7469FCF">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w:t>
      </w:r>
      <w:r>
        <w:rPr>
          <w:rFonts w:ascii="仿宋" w:hAnsi="仿宋" w:eastAsia="仿宋" w:cs="Verdana"/>
          <w:color w:val="000000"/>
          <w:kern w:val="0"/>
          <w:sz w:val="30"/>
          <w:szCs w:val="30"/>
        </w:rPr>
        <w:t>5</w:t>
      </w:r>
      <w:r>
        <w:rPr>
          <w:rFonts w:hint="eastAsia" w:ascii="仿宋" w:hAnsi="仿宋" w:eastAsia="仿宋" w:cs="Verdana"/>
          <w:color w:val="000000"/>
          <w:kern w:val="0"/>
          <w:sz w:val="30"/>
          <w:szCs w:val="30"/>
        </w:rPr>
        <w:t>个，预算金额</w:t>
      </w:r>
      <w:r>
        <w:rPr>
          <w:rFonts w:ascii="仿宋" w:hAnsi="仿宋" w:eastAsia="仿宋" w:cs="Verdana"/>
          <w:color w:val="000000"/>
          <w:kern w:val="0"/>
          <w:sz w:val="30"/>
          <w:szCs w:val="30"/>
        </w:rPr>
        <w:t>7.3</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10F7E1CB">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八、邮寄费项目情况说明</w:t>
      </w:r>
    </w:p>
    <w:p w14:paraId="46B7B65A">
      <w:pPr>
        <w:ind w:firstLine="600" w:firstLineChars="200"/>
        <w:outlineLvl w:val="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项目概述</w:t>
      </w:r>
    </w:p>
    <w:p w14:paraId="2657B2B4">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人力资源社会保障部和中国邮政集团公司定于自</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日起</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在全国范围内开展仲裁专递业务。</w:t>
      </w:r>
      <w:r>
        <w:rPr>
          <w:rFonts w:ascii="仿宋" w:hAnsi="仿宋" w:eastAsia="仿宋" w:cs="仿宋"/>
          <w:color w:val="000000"/>
          <w:kern w:val="0"/>
          <w:sz w:val="30"/>
          <w:szCs w:val="30"/>
        </w:rPr>
        <w:t xml:space="preserve"> </w:t>
      </w:r>
    </w:p>
    <w:p w14:paraId="1E795BE7">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立项依据</w:t>
      </w:r>
    </w:p>
    <w:p w14:paraId="3E8C3B6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根据《关于以仲裁专递方式邮寄送达有关仲裁专递文书的通知》</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人社厅函</w:t>
      </w:r>
      <w:r>
        <w:rPr>
          <w:rFonts w:ascii="仿宋" w:hAnsi="仿宋" w:eastAsia="仿宋" w:cs="仿宋"/>
          <w:color w:val="000000"/>
          <w:kern w:val="0"/>
          <w:sz w:val="30"/>
          <w:szCs w:val="30"/>
        </w:rPr>
        <w:t xml:space="preserve"> (2019)16</w:t>
      </w:r>
      <w:r>
        <w:rPr>
          <w:rFonts w:hint="eastAsia" w:ascii="仿宋" w:hAnsi="仿宋" w:eastAsia="仿宋" w:cs="仿宋"/>
          <w:color w:val="000000"/>
          <w:kern w:val="0"/>
          <w:sz w:val="30"/>
          <w:szCs w:val="30"/>
        </w:rPr>
        <w:t>号</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，各级劳动人事争议仲裁机构在仲裁活动中形成的方便邮寄送达的仲裁文书</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直接送达有困难且当事人送达地址明确的</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可以使用仲裁特快专递完成仲裁送达。</w:t>
      </w:r>
    </w:p>
    <w:p w14:paraId="1D59695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《关于做好以仲裁专递方式邮寄送达劳动人事争议仲裁有关文书工作的通知》（辽人社函（</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54</w:t>
      </w:r>
      <w:r>
        <w:rPr>
          <w:rFonts w:hint="eastAsia" w:ascii="仿宋" w:hAnsi="仿宋" w:eastAsia="仿宋" w:cs="仿宋"/>
          <w:color w:val="000000"/>
          <w:kern w:val="0"/>
          <w:sz w:val="30"/>
          <w:szCs w:val="30"/>
        </w:rPr>
        <w:t>号）中规定，仲裁专递费用从各地劳动人事争议仲裁机构办案经费中支出。</w:t>
      </w:r>
      <w:r>
        <w:rPr>
          <w:rFonts w:ascii="仿宋" w:hAnsi="仿宋" w:eastAsia="仿宋" w:cs="仿宋"/>
          <w:color w:val="000000"/>
          <w:kern w:val="0"/>
          <w:sz w:val="30"/>
          <w:szCs w:val="30"/>
        </w:rPr>
        <w:t xml:space="preserve"> </w:t>
      </w:r>
    </w:p>
    <w:p w14:paraId="142852D5">
      <w:pPr>
        <w:ind w:firstLine="600" w:firstLineChars="200"/>
        <w:outlineLvl w:val="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实施主体</w:t>
      </w:r>
    </w:p>
    <w:p w14:paraId="6DF32F6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大连高新技术产业园区劳动人事争议仲裁院</w:t>
      </w:r>
    </w:p>
    <w:p w14:paraId="6A9551B3">
      <w:pPr>
        <w:ind w:firstLine="600" w:firstLineChars="200"/>
        <w:outlineLvl w:val="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实施方案</w:t>
      </w:r>
    </w:p>
    <w:p w14:paraId="79A1EA07">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a.</w:t>
      </w:r>
      <w:r>
        <w:rPr>
          <w:rFonts w:hint="eastAsia" w:ascii="仿宋" w:hAnsi="仿宋" w:eastAsia="仿宋" w:cs="仿宋"/>
          <w:color w:val="000000"/>
          <w:kern w:val="0"/>
          <w:sz w:val="30"/>
          <w:szCs w:val="30"/>
        </w:rPr>
        <w:t>仲裁院与中国邮政（</w:t>
      </w:r>
      <w:r>
        <w:rPr>
          <w:rFonts w:ascii="仿宋" w:hAnsi="仿宋" w:eastAsia="仿宋" w:cs="仿宋"/>
          <w:color w:val="000000"/>
          <w:kern w:val="0"/>
          <w:sz w:val="30"/>
          <w:szCs w:val="30"/>
        </w:rPr>
        <w:t>EMS</w:t>
      </w:r>
      <w:r>
        <w:rPr>
          <w:rFonts w:hint="eastAsia" w:ascii="仿宋" w:hAnsi="仿宋" w:eastAsia="仿宋" w:cs="仿宋"/>
          <w:color w:val="000000"/>
          <w:kern w:val="0"/>
          <w:sz w:val="30"/>
          <w:szCs w:val="30"/>
        </w:rPr>
        <w:t>）签署合作协议。</w:t>
      </w:r>
    </w:p>
    <w:p w14:paraId="0D71F09C">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b.</w:t>
      </w:r>
      <w:r>
        <w:rPr>
          <w:rFonts w:hint="eastAsia" w:ascii="仿宋" w:hAnsi="仿宋" w:eastAsia="仿宋" w:cs="仿宋"/>
          <w:color w:val="000000"/>
          <w:kern w:val="0"/>
          <w:sz w:val="30"/>
          <w:szCs w:val="30"/>
        </w:rPr>
        <w:t>邮政公司要按照《通知》的规定</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提供仲裁特快专递服务</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使用统一的“</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仲裁专递</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”信封样式</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最晚必须于收到专递次日寄出</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投递后按照要求向仲裁机构反馈“</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回执联</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w:t>
      </w:r>
    </w:p>
    <w:p w14:paraId="5ACA67EE">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c.</w:t>
      </w:r>
      <w:r>
        <w:rPr>
          <w:rFonts w:hint="eastAsia" w:ascii="仿宋" w:hAnsi="仿宋" w:eastAsia="仿宋" w:cs="仿宋"/>
          <w:color w:val="000000"/>
          <w:kern w:val="0"/>
          <w:sz w:val="30"/>
          <w:szCs w:val="30"/>
        </w:rPr>
        <w:t>仲裁委员会要按照当事人提供并确认的送达地址及联系方式准确填写当事人相关信息</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并在仲裁文书签署之日起</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个工作日内</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通知邮政公司进行邮寄。</w:t>
      </w:r>
    </w:p>
    <w:p w14:paraId="790F0925">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d.</w:t>
      </w:r>
      <w:r>
        <w:rPr>
          <w:rFonts w:hint="eastAsia" w:ascii="仿宋" w:hAnsi="仿宋" w:eastAsia="仿宋" w:cs="仿宋"/>
          <w:color w:val="000000"/>
          <w:kern w:val="0"/>
          <w:sz w:val="30"/>
          <w:szCs w:val="30"/>
        </w:rPr>
        <w:t>仲裁文书送达后</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仲裁委员会应将邮政公司反馈的相关送达回证归入仲裁案卷正卷。</w:t>
      </w:r>
    </w:p>
    <w:p w14:paraId="223340C9">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实施周期</w:t>
      </w:r>
    </w:p>
    <w:p w14:paraId="720431F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长期实施项目</w:t>
      </w:r>
    </w:p>
    <w:p w14:paraId="4A71AF8F">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年度预算安排</w:t>
      </w:r>
    </w:p>
    <w:p w14:paraId="628456DA">
      <w:pPr>
        <w:ind w:left="640"/>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年拟安排该项目预算</w:t>
      </w:r>
      <w:r>
        <w:rPr>
          <w:rFonts w:ascii="仿宋" w:hAnsi="仿宋" w:eastAsia="仿宋" w:cs="仿宋"/>
          <w:color w:val="000000"/>
          <w:kern w:val="0"/>
          <w:sz w:val="30"/>
          <w:szCs w:val="30"/>
        </w:rPr>
        <w:t>0.5</w:t>
      </w:r>
      <w:r>
        <w:rPr>
          <w:rFonts w:hint="eastAsia" w:ascii="仿宋" w:hAnsi="仿宋" w:eastAsia="仿宋" w:cs="仿宋"/>
          <w:color w:val="000000"/>
          <w:kern w:val="0"/>
          <w:sz w:val="30"/>
          <w:szCs w:val="30"/>
        </w:rPr>
        <w:t>万元。</w:t>
      </w:r>
    </w:p>
    <w:p w14:paraId="6DF2D8D8">
      <w:pPr>
        <w:widowControl/>
        <w:spacing w:line="330" w:lineRule="atLeast"/>
        <w:ind w:firstLine="600" w:firstLineChars="200"/>
        <w:jc w:val="left"/>
        <w:rPr>
          <w:rFonts w:ascii="仿宋" w:hAnsi="仿宋" w:eastAsia="仿宋" w:cs="仿宋"/>
          <w:color w:val="000000"/>
          <w:kern w:val="0"/>
          <w:sz w:val="30"/>
          <w:szCs w:val="30"/>
        </w:rPr>
      </w:pPr>
    </w:p>
    <w:p w14:paraId="47A3A69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C35C8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7E41E3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2DD5D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EAC61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EED29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9AF91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BD0E5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B01A0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37B5CC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14B0C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2B81C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0ECC0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779175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8FC0E2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7CC71B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0F4FB0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AB138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823FB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33026BB">
      <w:pPr>
        <w:widowControl/>
        <w:spacing w:line="330" w:lineRule="atLeast"/>
        <w:ind w:firstLine="600" w:firstLineChars="200"/>
        <w:jc w:val="left"/>
        <w:rPr>
          <w:rFonts w:ascii="仿宋" w:hAnsi="仿宋" w:eastAsia="仿宋" w:cs="仿宋"/>
          <w:color w:val="000000"/>
          <w:kern w:val="0"/>
          <w:sz w:val="30"/>
          <w:szCs w:val="30"/>
        </w:rPr>
      </w:pPr>
    </w:p>
    <w:p w14:paraId="784508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52844834">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30646"/>
    <w:rsid w:val="00152988"/>
    <w:rsid w:val="00164A2E"/>
    <w:rsid w:val="00165857"/>
    <w:rsid w:val="001736B9"/>
    <w:rsid w:val="00187190"/>
    <w:rsid w:val="001961A4"/>
    <w:rsid w:val="001E3E93"/>
    <w:rsid w:val="00264775"/>
    <w:rsid w:val="00265F8B"/>
    <w:rsid w:val="00266D76"/>
    <w:rsid w:val="003003AA"/>
    <w:rsid w:val="003406D9"/>
    <w:rsid w:val="00342DA2"/>
    <w:rsid w:val="003653D0"/>
    <w:rsid w:val="00367143"/>
    <w:rsid w:val="00396402"/>
    <w:rsid w:val="003B50ED"/>
    <w:rsid w:val="003C65CD"/>
    <w:rsid w:val="003D3735"/>
    <w:rsid w:val="003E5285"/>
    <w:rsid w:val="003E61DA"/>
    <w:rsid w:val="003F2AA1"/>
    <w:rsid w:val="003F4DFF"/>
    <w:rsid w:val="004221E9"/>
    <w:rsid w:val="00490262"/>
    <w:rsid w:val="004F40D6"/>
    <w:rsid w:val="00542E2C"/>
    <w:rsid w:val="00594FB5"/>
    <w:rsid w:val="00597457"/>
    <w:rsid w:val="005A04CC"/>
    <w:rsid w:val="005D6EAF"/>
    <w:rsid w:val="005F4DCC"/>
    <w:rsid w:val="005F55A4"/>
    <w:rsid w:val="005F5DDF"/>
    <w:rsid w:val="00614500"/>
    <w:rsid w:val="006311D2"/>
    <w:rsid w:val="006541E5"/>
    <w:rsid w:val="00741B21"/>
    <w:rsid w:val="00753345"/>
    <w:rsid w:val="00753F26"/>
    <w:rsid w:val="00755C7B"/>
    <w:rsid w:val="00760C8F"/>
    <w:rsid w:val="007805EB"/>
    <w:rsid w:val="00793572"/>
    <w:rsid w:val="007B12D0"/>
    <w:rsid w:val="007C5E3C"/>
    <w:rsid w:val="007E002B"/>
    <w:rsid w:val="007F23D9"/>
    <w:rsid w:val="008207A6"/>
    <w:rsid w:val="00826E6F"/>
    <w:rsid w:val="008620BC"/>
    <w:rsid w:val="008641D1"/>
    <w:rsid w:val="008B01B8"/>
    <w:rsid w:val="0090275C"/>
    <w:rsid w:val="009166D1"/>
    <w:rsid w:val="009244A6"/>
    <w:rsid w:val="00941B10"/>
    <w:rsid w:val="0095239C"/>
    <w:rsid w:val="00961681"/>
    <w:rsid w:val="009652AA"/>
    <w:rsid w:val="009848F0"/>
    <w:rsid w:val="009866D9"/>
    <w:rsid w:val="009F1015"/>
    <w:rsid w:val="009F229D"/>
    <w:rsid w:val="00A12672"/>
    <w:rsid w:val="00A150E4"/>
    <w:rsid w:val="00A24D6F"/>
    <w:rsid w:val="00A26A44"/>
    <w:rsid w:val="00A377FD"/>
    <w:rsid w:val="00A52F7B"/>
    <w:rsid w:val="00A5549A"/>
    <w:rsid w:val="00A70656"/>
    <w:rsid w:val="00A7639E"/>
    <w:rsid w:val="00A924A6"/>
    <w:rsid w:val="00AA5534"/>
    <w:rsid w:val="00B217F1"/>
    <w:rsid w:val="00B40E6C"/>
    <w:rsid w:val="00C052C0"/>
    <w:rsid w:val="00C37685"/>
    <w:rsid w:val="00C604E5"/>
    <w:rsid w:val="00C67479"/>
    <w:rsid w:val="00C90560"/>
    <w:rsid w:val="00C95ED0"/>
    <w:rsid w:val="00CE2D18"/>
    <w:rsid w:val="00CF43DA"/>
    <w:rsid w:val="00D10236"/>
    <w:rsid w:val="00D176CA"/>
    <w:rsid w:val="00D400F0"/>
    <w:rsid w:val="00D608AA"/>
    <w:rsid w:val="00D82E50"/>
    <w:rsid w:val="00D937FB"/>
    <w:rsid w:val="00DA181F"/>
    <w:rsid w:val="00DC1136"/>
    <w:rsid w:val="00DD605A"/>
    <w:rsid w:val="00DD67CE"/>
    <w:rsid w:val="00DF2079"/>
    <w:rsid w:val="00E016C4"/>
    <w:rsid w:val="00E13821"/>
    <w:rsid w:val="00E160F9"/>
    <w:rsid w:val="00E679E1"/>
    <w:rsid w:val="00E804EF"/>
    <w:rsid w:val="00E96192"/>
    <w:rsid w:val="00EA15E7"/>
    <w:rsid w:val="00EB6E55"/>
    <w:rsid w:val="00EE134B"/>
    <w:rsid w:val="00F01060"/>
    <w:rsid w:val="00F251AC"/>
    <w:rsid w:val="00F328C7"/>
    <w:rsid w:val="00F52FDC"/>
    <w:rsid w:val="00F713C4"/>
    <w:rsid w:val="00F76F83"/>
    <w:rsid w:val="00F94B86"/>
    <w:rsid w:val="00FC5228"/>
    <w:rsid w:val="00FD042E"/>
    <w:rsid w:val="00FD54B0"/>
    <w:rsid w:val="00FD725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2601</Words>
  <Characters>2713</Characters>
  <Lines>21</Lines>
  <Paragraphs>6</Paragraphs>
  <TotalTime>53</TotalTime>
  <ScaleCrop>false</ScaleCrop>
  <LinksUpToDate>false</LinksUpToDate>
  <CharactersWithSpaces>2989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2025-12-19T06:28:03Z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237F709FF613459094BC4D1FAA5F1851_12</vt:lpwstr>
  </property>
</Properties>
</file>