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A6988">
      <w:pPr>
        <w:spacing w:line="600" w:lineRule="exact"/>
        <w:rPr>
          <w:rFonts w:ascii="仿宋_GB2312" w:eastAsia="仿宋_GB2312"/>
          <w:sz w:val="32"/>
          <w:szCs w:val="32"/>
        </w:rPr>
      </w:pPr>
      <w:bookmarkStart w:id="0" w:name="_GoBack"/>
      <w:bookmarkEnd w:id="0"/>
    </w:p>
    <w:p w14:paraId="26E21533">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高新区财务结算中心</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14:paraId="00699E57">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0448B56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84C111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85A850D">
      <w:pPr>
        <w:spacing w:line="330" w:lineRule="atLeast"/>
        <w:ind w:firstLine="600" w:firstLineChars="200"/>
        <w:jc w:val="left"/>
        <w:rPr>
          <w:rFonts w:ascii="仿宋" w:hAnsi="仿宋" w:eastAsia="仿宋"/>
          <w:sz w:val="30"/>
          <w:szCs w:val="30"/>
        </w:rPr>
      </w:pPr>
      <w:r>
        <w:rPr>
          <w:rFonts w:hint="eastAsia" w:ascii="仿宋" w:hAnsi="仿宋" w:eastAsia="仿宋"/>
          <w:sz w:val="30"/>
          <w:szCs w:val="30"/>
        </w:rPr>
        <w:t>（一）行政事业财务结算中心：</w:t>
      </w:r>
    </w:p>
    <w:p w14:paraId="0C8F235A">
      <w:pPr>
        <w:spacing w:line="330" w:lineRule="atLeast"/>
        <w:ind w:firstLine="600" w:firstLineChars="200"/>
        <w:jc w:val="left"/>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、负责园区行政事业性收费、政府性基金（附加）、其它非税收入及其它代收资金的征管工作；</w:t>
      </w:r>
    </w:p>
    <w:p w14:paraId="7CAF60D6">
      <w:pPr>
        <w:spacing w:line="330" w:lineRule="atLeast"/>
        <w:ind w:firstLine="600" w:firstLineChars="200"/>
        <w:jc w:val="left"/>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、负责本区财政票据的监管工作；负责对纳入管理的行政事业单位的各项资金（包括预算内资金、上级拨入经费、政府性基金、非税收入、专项资金、其它代收资金）的集中支付管理工作；</w:t>
      </w:r>
    </w:p>
    <w:p w14:paraId="1E6356DC">
      <w:pPr>
        <w:spacing w:line="330" w:lineRule="atLeast"/>
        <w:ind w:firstLine="600" w:firstLineChars="200"/>
        <w:jc w:val="left"/>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、负责办理财政直接支付业务，负责财政监管账务的核算工作；</w:t>
      </w:r>
    </w:p>
    <w:p w14:paraId="46CB3843">
      <w:pPr>
        <w:spacing w:line="330" w:lineRule="atLeast"/>
        <w:ind w:firstLine="600" w:firstLineChars="200"/>
        <w:jc w:val="left"/>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、根据园区财政局的有关规定</w:t>
      </w:r>
      <w:r>
        <w:rPr>
          <w:rFonts w:ascii="仿宋" w:hAnsi="仿宋" w:eastAsia="仿宋"/>
          <w:sz w:val="30"/>
          <w:szCs w:val="30"/>
        </w:rPr>
        <w:t>,</w:t>
      </w:r>
      <w:r>
        <w:rPr>
          <w:rFonts w:hint="eastAsia" w:ascii="仿宋" w:hAnsi="仿宋" w:eastAsia="仿宋"/>
          <w:sz w:val="30"/>
          <w:szCs w:val="30"/>
        </w:rPr>
        <w:t>为编制各行政、事业单位财政收支预算提供基础性资料及数据；</w:t>
      </w:r>
    </w:p>
    <w:p w14:paraId="47121DB0">
      <w:pPr>
        <w:spacing w:line="330" w:lineRule="atLeast"/>
        <w:ind w:firstLine="600" w:firstLineChars="200"/>
        <w:jc w:val="left"/>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、严格执行国家有关财务规章制度规定的开支范围及开支标准，严格控制各行政事业单位的经费支出；</w:t>
      </w:r>
      <w:r>
        <w:rPr>
          <w:rFonts w:ascii="仿宋" w:hAnsi="仿宋" w:eastAsia="仿宋"/>
          <w:sz w:val="30"/>
          <w:szCs w:val="30"/>
        </w:rPr>
        <w:t xml:space="preserve"> </w:t>
      </w:r>
    </w:p>
    <w:p w14:paraId="6E5BF2CB">
      <w:pPr>
        <w:spacing w:line="330" w:lineRule="atLeast"/>
        <w:ind w:firstLine="600" w:firstLineChars="200"/>
        <w:jc w:val="left"/>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、定期向财政部门和税务部门以及其它有关部门报送各行政事业单位的财务报表；</w:t>
      </w:r>
    </w:p>
    <w:p w14:paraId="693D2802">
      <w:pPr>
        <w:spacing w:line="330" w:lineRule="atLeast"/>
        <w:ind w:firstLine="600" w:firstLineChars="200"/>
        <w:jc w:val="left"/>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、配合财政预算部门监督预算执行并进行预算执行分析；</w:t>
      </w:r>
      <w:r>
        <w:rPr>
          <w:rFonts w:ascii="仿宋" w:hAnsi="仿宋" w:eastAsia="仿宋"/>
          <w:sz w:val="30"/>
          <w:szCs w:val="30"/>
        </w:rPr>
        <w:t xml:space="preserve"> </w:t>
      </w:r>
    </w:p>
    <w:p w14:paraId="647BCAC8">
      <w:pPr>
        <w:spacing w:line="330" w:lineRule="atLeast"/>
        <w:ind w:firstLine="600" w:firstLineChars="200"/>
        <w:jc w:val="left"/>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、负责园区机关和全额拨款事业单位工作人员工资、补贴、绩效奖金的审核、发放工作；</w:t>
      </w:r>
    </w:p>
    <w:p w14:paraId="0F005FFA">
      <w:pPr>
        <w:spacing w:line="330" w:lineRule="atLeast"/>
        <w:ind w:firstLine="600" w:firstLineChars="200"/>
        <w:jc w:val="left"/>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、负责为园区机关和全额拨款事业单位人员代扣代缴个人所得税、接转扣缴“五险一金”工作；</w:t>
      </w:r>
    </w:p>
    <w:p w14:paraId="49127EDE">
      <w:pPr>
        <w:spacing w:line="330" w:lineRule="atLeast"/>
        <w:ind w:firstLine="600" w:firstLineChars="200"/>
        <w:jc w:val="left"/>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、负责园区机关、直属事业单位固定资产的登记、报废、核销的核算工作。</w:t>
      </w:r>
    </w:p>
    <w:p w14:paraId="68C898B2">
      <w:pPr>
        <w:spacing w:line="330" w:lineRule="atLeast"/>
        <w:ind w:firstLine="600" w:firstLineChars="200"/>
        <w:jc w:val="left"/>
        <w:rPr>
          <w:rFonts w:ascii="仿宋" w:hAnsi="仿宋" w:eastAsia="仿宋"/>
          <w:sz w:val="30"/>
          <w:szCs w:val="30"/>
        </w:rPr>
      </w:pPr>
      <w:r>
        <w:rPr>
          <w:rFonts w:hint="eastAsia" w:ascii="仿宋" w:hAnsi="仿宋" w:eastAsia="仿宋"/>
          <w:sz w:val="30"/>
          <w:szCs w:val="30"/>
        </w:rPr>
        <w:t>（二）医疗卫生机构药品结算中心：</w:t>
      </w:r>
    </w:p>
    <w:p w14:paraId="7E33919F">
      <w:pPr>
        <w:spacing w:line="330" w:lineRule="atLeast"/>
        <w:ind w:firstLine="600" w:firstLineChars="200"/>
        <w:jc w:val="left"/>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、在大连高新区深化医药卫生体制改革领导小组的指导下，负责园区基层医疗卫生机构销售药品货款的支付、收缴和监管工作；</w:t>
      </w:r>
    </w:p>
    <w:p w14:paraId="78BB5181">
      <w:pPr>
        <w:spacing w:line="330" w:lineRule="atLeast"/>
        <w:ind w:firstLine="600" w:firstLineChars="200"/>
        <w:jc w:val="left"/>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、负责设立专用账户，统一支付园区基层医疗卫生机构基本药物货款，并按时收缴基本药物销售资金；</w:t>
      </w:r>
    </w:p>
    <w:p w14:paraId="28B2F1E8">
      <w:pPr>
        <w:spacing w:line="330" w:lineRule="atLeast"/>
        <w:ind w:firstLine="600" w:firstLineChars="200"/>
        <w:jc w:val="left"/>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、负责对园区基层医疗卫生机构基本药物网上采购及药品配送企业的配送工作进行监管；</w:t>
      </w:r>
    </w:p>
    <w:p w14:paraId="6EBB8F2A">
      <w:pPr>
        <w:spacing w:line="330" w:lineRule="atLeast"/>
        <w:ind w:firstLine="600" w:firstLineChars="200"/>
        <w:jc w:val="left"/>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、负责承办大连高新区深化医药卫生体制改革领导小组办公室交办的其他相关工作。</w:t>
      </w:r>
    </w:p>
    <w:p w14:paraId="7DF50D7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88840C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年财务结算中心部门预算为本部综合收支计划，无二级单位。</w:t>
      </w:r>
    </w:p>
    <w:p w14:paraId="69E247C6">
      <w:pPr>
        <w:widowControl/>
        <w:spacing w:line="330" w:lineRule="atLeast"/>
        <w:ind w:firstLine="600" w:firstLineChars="200"/>
        <w:jc w:val="left"/>
        <w:rPr>
          <w:rFonts w:ascii="仿宋" w:hAnsi="仿宋" w:eastAsia="仿宋" w:cs="仿宋"/>
          <w:color w:val="000000"/>
          <w:kern w:val="0"/>
          <w:sz w:val="30"/>
          <w:szCs w:val="30"/>
        </w:rPr>
      </w:pPr>
    </w:p>
    <w:p w14:paraId="5F4C48B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440FC5B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C934AF6">
      <w:pPr>
        <w:widowControl/>
        <w:spacing w:line="330" w:lineRule="atLeast"/>
        <w:ind w:firstLine="600" w:firstLineChars="200"/>
        <w:jc w:val="left"/>
        <w:rPr>
          <w:rFonts w:asci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581</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440.2</w:t>
      </w:r>
      <w:r>
        <w:rPr>
          <w:rFonts w:hint="eastAsia" w:ascii="仿宋" w:hAnsi="仿宋" w:eastAsia="仿宋" w:cs="仿宋"/>
          <w:sz w:val="30"/>
          <w:szCs w:val="30"/>
        </w:rPr>
        <w:t>万元，商品和服务支出</w:t>
      </w:r>
      <w:r>
        <w:rPr>
          <w:rFonts w:ascii="仿宋" w:hAnsi="仿宋" w:eastAsia="仿宋" w:cs="仿宋"/>
          <w:sz w:val="30"/>
          <w:szCs w:val="30"/>
        </w:rPr>
        <w:t>140.8</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年预算数减少80.3万元，其中财政拨款收入比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年预算数减少80.3万元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w:t>
      </w:r>
      <w:r>
        <w:rPr>
          <w:rFonts w:hint="eastAsia" w:ascii="仿宋" w:eastAsia="仿宋" w:cs="仿宋"/>
          <w:color w:val="000000"/>
          <w:kern w:val="0"/>
          <w:sz w:val="30"/>
          <w:szCs w:val="30"/>
        </w:rPr>
        <w:t>比</w:t>
      </w:r>
      <w:r>
        <w:rPr>
          <w:rFonts w:ascii="仿宋" w:eastAsia="仿宋" w:cs="仿宋"/>
          <w:color w:val="000000"/>
          <w:kern w:val="0"/>
          <w:sz w:val="30"/>
          <w:szCs w:val="30"/>
        </w:rPr>
        <w:t>2019</w:t>
      </w:r>
      <w:r>
        <w:rPr>
          <w:rFonts w:hint="eastAsia" w:ascii="仿宋" w:eastAsia="仿宋" w:cs="仿宋"/>
          <w:color w:val="000000"/>
          <w:kern w:val="0"/>
          <w:sz w:val="30"/>
          <w:szCs w:val="30"/>
        </w:rPr>
        <w:t>年预算数减少80.3万元，其中</w:t>
      </w:r>
      <w:r>
        <w:rPr>
          <w:rFonts w:hint="eastAsia" w:ascii="仿宋" w:eastAsia="仿宋" w:cs="仿宋"/>
          <w:sz w:val="30"/>
          <w:szCs w:val="30"/>
        </w:rPr>
        <w:t>工资福利和对个人家庭补助支出减少</w:t>
      </w:r>
      <w:r>
        <w:rPr>
          <w:rFonts w:ascii="仿宋" w:eastAsia="仿宋" w:cs="仿宋"/>
          <w:sz w:val="30"/>
          <w:szCs w:val="30"/>
        </w:rPr>
        <w:t>84.6</w:t>
      </w:r>
      <w:r>
        <w:rPr>
          <w:rFonts w:hint="eastAsia" w:ascii="仿宋" w:eastAsia="仿宋" w:cs="仿宋"/>
          <w:sz w:val="30"/>
          <w:szCs w:val="30"/>
        </w:rPr>
        <w:t>万元，商品和服务支出增加</w:t>
      </w:r>
      <w:r>
        <w:rPr>
          <w:rFonts w:ascii="仿宋" w:eastAsia="仿宋" w:cs="仿宋"/>
          <w:sz w:val="30"/>
          <w:szCs w:val="30"/>
        </w:rPr>
        <w:t>4.3</w:t>
      </w:r>
      <w:r>
        <w:rPr>
          <w:rFonts w:hint="eastAsia" w:ascii="仿宋" w:eastAsia="仿宋" w:cs="仿宋"/>
          <w:sz w:val="30"/>
          <w:szCs w:val="30"/>
        </w:rPr>
        <w:t>万元。</w:t>
      </w:r>
    </w:p>
    <w:p w14:paraId="3B04975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CDD47BF">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0DA6237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402A623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5.4</w:t>
      </w:r>
      <w:r>
        <w:rPr>
          <w:rFonts w:hint="eastAsia" w:ascii="仿宋" w:hAnsi="仿宋" w:eastAsia="仿宋" w:cs="仿宋"/>
          <w:color w:val="000000"/>
          <w:kern w:val="0"/>
          <w:sz w:val="30"/>
          <w:szCs w:val="30"/>
        </w:rPr>
        <w:t>万元。</w:t>
      </w:r>
    </w:p>
    <w:p w14:paraId="792E3EA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4511018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5FD5BD9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21D1ADE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5948B46">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10C49D6C">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41F0DEF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D2DF56E">
      <w:pPr>
        <w:ind w:firstLine="600" w:firstLineChars="200"/>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w:t>
      </w:r>
      <w:r>
        <w:rPr>
          <w:rFonts w:ascii="仿宋" w:hAnsi="仿宋" w:eastAsia="仿宋" w:cs="Verdana"/>
          <w:color w:val="000000"/>
          <w:kern w:val="0"/>
          <w:sz w:val="30"/>
          <w:szCs w:val="30"/>
        </w:rPr>
        <w:t>1</w:t>
      </w:r>
      <w:r>
        <w:rPr>
          <w:rFonts w:hint="eastAsia" w:ascii="仿宋" w:hAnsi="仿宋" w:eastAsia="仿宋" w:cs="Verdana"/>
          <w:color w:val="000000"/>
          <w:kern w:val="0"/>
          <w:sz w:val="30"/>
          <w:szCs w:val="30"/>
        </w:rPr>
        <w:t>个，预算金额</w:t>
      </w:r>
      <w:r>
        <w:rPr>
          <w:rFonts w:ascii="仿宋" w:hAnsi="仿宋" w:eastAsia="仿宋" w:cs="Verdana"/>
          <w:color w:val="000000"/>
          <w:kern w:val="0"/>
          <w:sz w:val="30"/>
          <w:szCs w:val="30"/>
        </w:rPr>
        <w:t>33</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p>
    <w:p w14:paraId="7B37BF92">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八、票据业务专项项目情况</w:t>
      </w:r>
    </w:p>
    <w:p w14:paraId="1B0C3E67">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w:t>
      </w:r>
      <w:r>
        <w:rPr>
          <w:rFonts w:ascii="仿宋" w:hAnsi="仿宋" w:eastAsia="仿宋" w:cs="仿宋"/>
          <w:color w:val="000000"/>
          <w:kern w:val="0"/>
          <w:sz w:val="30"/>
          <w:szCs w:val="30"/>
        </w:rPr>
        <w:t>概述</w:t>
      </w:r>
    </w:p>
    <w:p w14:paraId="08E142E5">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按照财政分工，结算中心负责代办全区财政票据业务，相应支出列入票据业务专项。</w:t>
      </w:r>
    </w:p>
    <w:p w14:paraId="4D40A16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0D78B9A1">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票据业务专项按照国家、省、市票据管理相关法律法规设立，用以保障行政事业单位及非盈利机构（如幼儿园、卫生院等）相关业务的正常开展</w:t>
      </w:r>
      <w:r>
        <w:rPr>
          <w:rFonts w:ascii="仿宋" w:hAnsi="仿宋" w:eastAsia="仿宋" w:cs="仿宋"/>
          <w:color w:val="000000"/>
          <w:kern w:val="0"/>
          <w:sz w:val="30"/>
          <w:szCs w:val="30"/>
        </w:rPr>
        <w:t>。</w:t>
      </w:r>
    </w:p>
    <w:p w14:paraId="38D180B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票据业务属财政业务的重要组成部分。</w:t>
      </w:r>
    </w:p>
    <w:p w14:paraId="22CFEC68">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w:t>
      </w:r>
      <w:r>
        <w:rPr>
          <w:rFonts w:ascii="仿宋" w:hAnsi="仿宋" w:eastAsia="仿宋" w:cs="仿宋"/>
          <w:color w:val="000000"/>
          <w:kern w:val="0"/>
          <w:sz w:val="30"/>
          <w:szCs w:val="30"/>
        </w:rPr>
        <w:t>主体</w:t>
      </w:r>
    </w:p>
    <w:p w14:paraId="268AC9B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w:t>
      </w:r>
      <w:r>
        <w:rPr>
          <w:rFonts w:ascii="仿宋" w:hAnsi="仿宋" w:eastAsia="仿宋" w:cs="仿宋"/>
          <w:color w:val="000000"/>
          <w:kern w:val="0"/>
          <w:sz w:val="30"/>
          <w:szCs w:val="30"/>
        </w:rPr>
        <w:t>具体组织实施</w:t>
      </w:r>
      <w:r>
        <w:rPr>
          <w:rFonts w:hint="eastAsia" w:ascii="仿宋" w:hAnsi="仿宋" w:eastAsia="仿宋" w:cs="仿宋"/>
          <w:color w:val="000000"/>
          <w:kern w:val="0"/>
          <w:sz w:val="30"/>
          <w:szCs w:val="30"/>
        </w:rPr>
        <w:t>的</w:t>
      </w:r>
      <w:r>
        <w:rPr>
          <w:rFonts w:ascii="仿宋" w:hAnsi="仿宋" w:eastAsia="仿宋" w:cs="仿宋"/>
          <w:color w:val="000000"/>
          <w:kern w:val="0"/>
          <w:sz w:val="30"/>
          <w:szCs w:val="30"/>
        </w:rPr>
        <w:t>部门</w:t>
      </w:r>
      <w:r>
        <w:rPr>
          <w:rFonts w:hint="eastAsia" w:ascii="仿宋" w:hAnsi="仿宋" w:eastAsia="仿宋" w:cs="仿宋"/>
          <w:color w:val="000000"/>
          <w:kern w:val="0"/>
          <w:sz w:val="30"/>
          <w:szCs w:val="30"/>
        </w:rPr>
        <w:t>：结算中心。</w:t>
      </w:r>
    </w:p>
    <w:p w14:paraId="19CBB2CF">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w:t>
      </w:r>
      <w:r>
        <w:rPr>
          <w:rFonts w:ascii="仿宋" w:hAnsi="仿宋" w:eastAsia="仿宋" w:cs="仿宋"/>
          <w:color w:val="000000"/>
          <w:kern w:val="0"/>
          <w:sz w:val="30"/>
          <w:szCs w:val="30"/>
        </w:rPr>
        <w:t>方案</w:t>
      </w:r>
    </w:p>
    <w:p w14:paraId="04AD679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①项目</w:t>
      </w:r>
      <w:r>
        <w:rPr>
          <w:rFonts w:ascii="仿宋" w:hAnsi="仿宋" w:eastAsia="仿宋" w:cs="仿宋"/>
          <w:color w:val="000000"/>
          <w:kern w:val="0"/>
          <w:sz w:val="30"/>
          <w:szCs w:val="30"/>
        </w:rPr>
        <w:t>的</w:t>
      </w:r>
      <w:r>
        <w:rPr>
          <w:rFonts w:hint="eastAsia" w:ascii="仿宋" w:hAnsi="仿宋" w:eastAsia="仿宋" w:cs="仿宋"/>
          <w:color w:val="000000"/>
          <w:kern w:val="0"/>
          <w:sz w:val="30"/>
          <w:szCs w:val="30"/>
        </w:rPr>
        <w:t>主要</w:t>
      </w:r>
      <w:r>
        <w:rPr>
          <w:rFonts w:ascii="仿宋" w:hAnsi="仿宋" w:eastAsia="仿宋" w:cs="仿宋"/>
          <w:color w:val="000000"/>
          <w:kern w:val="0"/>
          <w:sz w:val="30"/>
          <w:szCs w:val="30"/>
        </w:rPr>
        <w:t>目标</w:t>
      </w:r>
      <w:r>
        <w:rPr>
          <w:rFonts w:hint="eastAsia" w:ascii="仿宋" w:hAnsi="仿宋" w:eastAsia="仿宋" w:cs="仿宋"/>
          <w:color w:val="000000"/>
          <w:kern w:val="0"/>
          <w:sz w:val="30"/>
          <w:szCs w:val="30"/>
        </w:rPr>
        <w:t>为满足高新区票据使用人日常业务需要，并依据上级部署晚上票据系统，逐步实现票据电子化。</w:t>
      </w:r>
    </w:p>
    <w:p w14:paraId="4B6966B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②项目实施是确保购入和储备足够票据，满足全区票据需求，确保原有票据系统正常运行，按照部署，实现新票据系统上线运行。</w:t>
      </w:r>
    </w:p>
    <w:p w14:paraId="54F65DF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109A4B2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w:t>
      </w:r>
      <w:r>
        <w:rPr>
          <w:rFonts w:ascii="仿宋" w:hAnsi="仿宋" w:eastAsia="仿宋" w:cs="仿宋"/>
          <w:color w:val="000000"/>
          <w:kern w:val="0"/>
          <w:sz w:val="30"/>
          <w:szCs w:val="30"/>
        </w:rPr>
        <w:t>从</w:t>
      </w:r>
      <w:r>
        <w:rPr>
          <w:rFonts w:hint="eastAsia" w:ascii="仿宋" w:hAnsi="仿宋" w:eastAsia="仿宋" w:cs="仿宋"/>
          <w:color w:val="000000"/>
          <w:kern w:val="0"/>
          <w:sz w:val="30"/>
          <w:szCs w:val="30"/>
        </w:rPr>
        <w:t>2020年1月1日</w:t>
      </w:r>
      <w:r>
        <w:rPr>
          <w:rFonts w:ascii="仿宋" w:hAnsi="仿宋" w:eastAsia="仿宋" w:cs="仿宋"/>
          <w:color w:val="000000"/>
          <w:kern w:val="0"/>
          <w:sz w:val="30"/>
          <w:szCs w:val="30"/>
        </w:rPr>
        <w:t>起始到</w:t>
      </w:r>
      <w:r>
        <w:rPr>
          <w:rFonts w:hint="eastAsia" w:ascii="仿宋" w:hAnsi="仿宋" w:eastAsia="仿宋" w:cs="仿宋"/>
          <w:color w:val="000000"/>
          <w:kern w:val="0"/>
          <w:sz w:val="30"/>
          <w:szCs w:val="30"/>
        </w:rPr>
        <w:t>2020年12月31日终止</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按年度安排。</w:t>
      </w:r>
    </w:p>
    <w:p w14:paraId="54B58B1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65411EDC">
      <w:pPr>
        <w:ind w:left="640"/>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年拟</w:t>
      </w:r>
      <w:r>
        <w:rPr>
          <w:rFonts w:ascii="仿宋" w:hAnsi="仿宋" w:eastAsia="仿宋" w:cs="仿宋"/>
          <w:color w:val="000000"/>
          <w:kern w:val="0"/>
          <w:sz w:val="30"/>
          <w:szCs w:val="30"/>
        </w:rPr>
        <w:t>安排该项目一般公共预算</w:t>
      </w:r>
      <w:r>
        <w:rPr>
          <w:rFonts w:hint="eastAsia" w:ascii="仿宋" w:hAnsi="仿宋" w:eastAsia="仿宋" w:cs="仿宋"/>
          <w:color w:val="000000"/>
          <w:kern w:val="0"/>
          <w:sz w:val="30"/>
          <w:szCs w:val="30"/>
        </w:rPr>
        <w:t>14.3万元，</w:t>
      </w:r>
      <w:r>
        <w:rPr>
          <w:rFonts w:ascii="仿宋" w:hAnsi="仿宋" w:eastAsia="仿宋" w:cs="仿宋"/>
          <w:color w:val="000000"/>
          <w:kern w:val="0"/>
          <w:sz w:val="30"/>
          <w:szCs w:val="30"/>
        </w:rPr>
        <w:t>其中</w:t>
      </w:r>
      <w:r>
        <w:rPr>
          <w:rFonts w:hint="eastAsia" w:ascii="仿宋" w:hAnsi="仿宋" w:eastAsia="仿宋" w:cs="仿宋"/>
          <w:color w:val="000000"/>
          <w:kern w:val="0"/>
          <w:sz w:val="30"/>
          <w:szCs w:val="30"/>
        </w:rPr>
        <w:t>：</w:t>
      </w:r>
    </w:p>
    <w:p w14:paraId="2B5E56F9">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票据购置子</w:t>
      </w:r>
      <w:r>
        <w:rPr>
          <w:rFonts w:ascii="仿宋" w:hAnsi="仿宋" w:eastAsia="仿宋" w:cs="仿宋"/>
          <w:color w:val="000000"/>
          <w:kern w:val="0"/>
          <w:sz w:val="30"/>
          <w:szCs w:val="30"/>
        </w:rPr>
        <w:t>项目</w:t>
      </w:r>
      <w:r>
        <w:rPr>
          <w:rFonts w:hint="eastAsia" w:ascii="仿宋" w:hAnsi="仿宋" w:eastAsia="仿宋" w:cs="仿宋"/>
          <w:color w:val="000000"/>
          <w:kern w:val="0"/>
          <w:sz w:val="30"/>
          <w:szCs w:val="30"/>
        </w:rPr>
        <w:t>6万元，</w:t>
      </w:r>
      <w:r>
        <w:rPr>
          <w:rFonts w:ascii="仿宋" w:hAnsi="仿宋" w:eastAsia="仿宋" w:cs="仿宋"/>
          <w:color w:val="000000"/>
          <w:kern w:val="0"/>
          <w:sz w:val="30"/>
          <w:szCs w:val="30"/>
        </w:rPr>
        <w:t>主要用于</w:t>
      </w:r>
      <w:r>
        <w:rPr>
          <w:rFonts w:hint="eastAsia" w:ascii="仿宋" w:hAnsi="仿宋" w:eastAsia="仿宋" w:cs="仿宋"/>
          <w:color w:val="000000"/>
          <w:kern w:val="0"/>
          <w:sz w:val="30"/>
          <w:szCs w:val="30"/>
        </w:rPr>
        <w:t>购买票据；</w:t>
      </w:r>
    </w:p>
    <w:p w14:paraId="52CB813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系统维护子</w:t>
      </w:r>
      <w:r>
        <w:rPr>
          <w:rFonts w:ascii="仿宋" w:hAnsi="仿宋" w:eastAsia="仿宋" w:cs="仿宋"/>
          <w:color w:val="000000"/>
          <w:kern w:val="0"/>
          <w:sz w:val="30"/>
          <w:szCs w:val="30"/>
        </w:rPr>
        <w:t>项目</w:t>
      </w:r>
      <w:r>
        <w:rPr>
          <w:rFonts w:hint="eastAsia" w:ascii="仿宋" w:hAnsi="仿宋" w:eastAsia="仿宋" w:cs="仿宋"/>
          <w:color w:val="000000"/>
          <w:kern w:val="0"/>
          <w:sz w:val="30"/>
          <w:szCs w:val="30"/>
        </w:rPr>
        <w:t>3万元，</w:t>
      </w:r>
      <w:r>
        <w:rPr>
          <w:rFonts w:ascii="仿宋" w:hAnsi="仿宋" w:eastAsia="仿宋" w:cs="仿宋"/>
          <w:color w:val="000000"/>
          <w:kern w:val="0"/>
          <w:sz w:val="30"/>
          <w:szCs w:val="30"/>
        </w:rPr>
        <w:t>主要用于</w:t>
      </w:r>
      <w:r>
        <w:rPr>
          <w:rFonts w:hint="eastAsia" w:ascii="仿宋" w:hAnsi="仿宋" w:eastAsia="仿宋" w:cs="仿宋"/>
          <w:color w:val="000000"/>
          <w:kern w:val="0"/>
          <w:sz w:val="30"/>
          <w:szCs w:val="30"/>
        </w:rPr>
        <w:t>维护现有票据系统，支付运维费用；</w:t>
      </w:r>
    </w:p>
    <w:p w14:paraId="65E7ADC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（3</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系统升级子</w:t>
      </w:r>
      <w:r>
        <w:rPr>
          <w:rFonts w:ascii="仿宋" w:hAnsi="仿宋" w:eastAsia="仿宋" w:cs="仿宋"/>
          <w:color w:val="000000"/>
          <w:kern w:val="0"/>
          <w:sz w:val="30"/>
          <w:szCs w:val="30"/>
        </w:rPr>
        <w:t>项目</w:t>
      </w:r>
      <w:r>
        <w:rPr>
          <w:rFonts w:hint="eastAsia" w:ascii="仿宋" w:hAnsi="仿宋" w:eastAsia="仿宋" w:cs="仿宋"/>
          <w:color w:val="000000"/>
          <w:kern w:val="0"/>
          <w:sz w:val="30"/>
          <w:szCs w:val="30"/>
        </w:rPr>
        <w:t>5.3万元，</w:t>
      </w:r>
      <w:r>
        <w:rPr>
          <w:rFonts w:ascii="仿宋" w:hAnsi="仿宋" w:eastAsia="仿宋" w:cs="仿宋"/>
          <w:color w:val="000000"/>
          <w:kern w:val="0"/>
          <w:sz w:val="30"/>
          <w:szCs w:val="30"/>
        </w:rPr>
        <w:t>主要用于</w:t>
      </w:r>
      <w:r>
        <w:rPr>
          <w:rFonts w:hint="eastAsia" w:ascii="仿宋" w:hAnsi="仿宋" w:eastAsia="仿宋" w:cs="仿宋"/>
          <w:color w:val="000000"/>
          <w:kern w:val="0"/>
          <w:sz w:val="30"/>
          <w:szCs w:val="30"/>
        </w:rPr>
        <w:t>新系统上线。</w:t>
      </w:r>
    </w:p>
    <w:p w14:paraId="5EFD28D7">
      <w:pPr>
        <w:widowControl/>
        <w:spacing w:line="330" w:lineRule="atLeast"/>
        <w:ind w:firstLine="600" w:firstLineChars="200"/>
        <w:jc w:val="left"/>
        <w:rPr>
          <w:rFonts w:ascii="仿宋" w:hAnsi="仿宋" w:eastAsia="仿宋" w:cs="仿宋"/>
          <w:color w:val="000000"/>
          <w:kern w:val="0"/>
          <w:sz w:val="30"/>
          <w:szCs w:val="30"/>
        </w:rPr>
      </w:pPr>
    </w:p>
    <w:p w14:paraId="20C1B83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02FE128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BCDBD1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4656EE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CD14AE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BF77BA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E5BC15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0FE980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2F7BECE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C51ED9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3168463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39D761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0C19178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BBEBE7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D0FD71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699018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14BBED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D93D21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0BA8A4B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BC35BE5">
      <w:pPr>
        <w:widowControl/>
        <w:spacing w:line="330" w:lineRule="atLeast"/>
        <w:ind w:firstLine="600" w:firstLineChars="200"/>
        <w:jc w:val="left"/>
        <w:rPr>
          <w:rFonts w:ascii="仿宋" w:hAnsi="仿宋" w:eastAsia="仿宋" w:cs="仿宋"/>
          <w:color w:val="000000"/>
          <w:kern w:val="0"/>
          <w:sz w:val="30"/>
          <w:szCs w:val="30"/>
        </w:rPr>
      </w:pPr>
    </w:p>
    <w:p w14:paraId="77ED96E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p w14:paraId="205D2CC8">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101BE5"/>
    <w:rsid w:val="00104AD4"/>
    <w:rsid w:val="0010550E"/>
    <w:rsid w:val="00151CA8"/>
    <w:rsid w:val="00164A2E"/>
    <w:rsid w:val="00165857"/>
    <w:rsid w:val="00187190"/>
    <w:rsid w:val="001961A4"/>
    <w:rsid w:val="001A3571"/>
    <w:rsid w:val="001E3E93"/>
    <w:rsid w:val="0021530D"/>
    <w:rsid w:val="002220A1"/>
    <w:rsid w:val="00244ECE"/>
    <w:rsid w:val="00264775"/>
    <w:rsid w:val="00265F8B"/>
    <w:rsid w:val="002C7C70"/>
    <w:rsid w:val="002D72DA"/>
    <w:rsid w:val="003003AA"/>
    <w:rsid w:val="00340FE4"/>
    <w:rsid w:val="00342DA2"/>
    <w:rsid w:val="00347E96"/>
    <w:rsid w:val="003B50ED"/>
    <w:rsid w:val="003C65CD"/>
    <w:rsid w:val="003E61DA"/>
    <w:rsid w:val="003F2AA1"/>
    <w:rsid w:val="003F4DFF"/>
    <w:rsid w:val="004221E9"/>
    <w:rsid w:val="004E5846"/>
    <w:rsid w:val="00594FB5"/>
    <w:rsid w:val="005A04CC"/>
    <w:rsid w:val="005B0130"/>
    <w:rsid w:val="005F2E88"/>
    <w:rsid w:val="005F32FD"/>
    <w:rsid w:val="005F4DCC"/>
    <w:rsid w:val="00614500"/>
    <w:rsid w:val="006541E5"/>
    <w:rsid w:val="006578AF"/>
    <w:rsid w:val="00667B8B"/>
    <w:rsid w:val="006F3660"/>
    <w:rsid w:val="00753345"/>
    <w:rsid w:val="00753F26"/>
    <w:rsid w:val="00755C7B"/>
    <w:rsid w:val="007805EB"/>
    <w:rsid w:val="00781A2B"/>
    <w:rsid w:val="00793572"/>
    <w:rsid w:val="007B12D0"/>
    <w:rsid w:val="007C5E3C"/>
    <w:rsid w:val="007D0CA5"/>
    <w:rsid w:val="007F23D9"/>
    <w:rsid w:val="008207A6"/>
    <w:rsid w:val="00826E6F"/>
    <w:rsid w:val="008620BC"/>
    <w:rsid w:val="008641D1"/>
    <w:rsid w:val="0088232B"/>
    <w:rsid w:val="008B01B8"/>
    <w:rsid w:val="00913B14"/>
    <w:rsid w:val="009244A6"/>
    <w:rsid w:val="00941B10"/>
    <w:rsid w:val="00961681"/>
    <w:rsid w:val="009652AA"/>
    <w:rsid w:val="00965DEB"/>
    <w:rsid w:val="009848F0"/>
    <w:rsid w:val="009C35B8"/>
    <w:rsid w:val="009E0B2D"/>
    <w:rsid w:val="009F1015"/>
    <w:rsid w:val="009F229D"/>
    <w:rsid w:val="009F4953"/>
    <w:rsid w:val="00A05AB1"/>
    <w:rsid w:val="00A12672"/>
    <w:rsid w:val="00A150E4"/>
    <w:rsid w:val="00A26A44"/>
    <w:rsid w:val="00A377FD"/>
    <w:rsid w:val="00A5549A"/>
    <w:rsid w:val="00A564A4"/>
    <w:rsid w:val="00A70656"/>
    <w:rsid w:val="00A7639E"/>
    <w:rsid w:val="00A924A6"/>
    <w:rsid w:val="00AE3056"/>
    <w:rsid w:val="00B217F1"/>
    <w:rsid w:val="00B40E6C"/>
    <w:rsid w:val="00BB3717"/>
    <w:rsid w:val="00BD4773"/>
    <w:rsid w:val="00BE5278"/>
    <w:rsid w:val="00C052C0"/>
    <w:rsid w:val="00C67479"/>
    <w:rsid w:val="00CB7FBE"/>
    <w:rsid w:val="00CF43DA"/>
    <w:rsid w:val="00D10236"/>
    <w:rsid w:val="00D176CA"/>
    <w:rsid w:val="00D400F0"/>
    <w:rsid w:val="00D82E50"/>
    <w:rsid w:val="00D834A2"/>
    <w:rsid w:val="00D86FEB"/>
    <w:rsid w:val="00DC1136"/>
    <w:rsid w:val="00DD605A"/>
    <w:rsid w:val="00DD67CE"/>
    <w:rsid w:val="00DF2079"/>
    <w:rsid w:val="00E160F9"/>
    <w:rsid w:val="00E45591"/>
    <w:rsid w:val="00E679E1"/>
    <w:rsid w:val="00E804EF"/>
    <w:rsid w:val="00EA15E7"/>
    <w:rsid w:val="00EB4CF2"/>
    <w:rsid w:val="00EB6E55"/>
    <w:rsid w:val="00EE134B"/>
    <w:rsid w:val="00F01060"/>
    <w:rsid w:val="00F20D92"/>
    <w:rsid w:val="00F251AC"/>
    <w:rsid w:val="00F47E4A"/>
    <w:rsid w:val="00F713C4"/>
    <w:rsid w:val="00F76F83"/>
    <w:rsid w:val="00F94B86"/>
    <w:rsid w:val="00FC5228"/>
    <w:rsid w:val="00FD042E"/>
    <w:rsid w:val="00FD7251"/>
    <w:rsid w:val="720466C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2934</Words>
  <Characters>3041</Characters>
  <Lines>24</Lines>
  <Paragraphs>6</Paragraphs>
  <TotalTime>56</TotalTime>
  <ScaleCrop>false</ScaleCrop>
  <LinksUpToDate>false</LinksUpToDate>
  <CharactersWithSpaces>3310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2025-12-19T06:35:30Z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855BDADB1D9D49BF87DC5E80AE7345F0_12</vt:lpwstr>
  </property>
</Properties>
</file>