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A62D4">
      <w:pPr>
        <w:spacing w:line="600" w:lineRule="exact"/>
        <w:rPr>
          <w:rFonts w:ascii="仿宋_GB2312" w:eastAsia="仿宋_GB2312"/>
          <w:sz w:val="32"/>
          <w:szCs w:val="32"/>
        </w:rPr>
      </w:pPr>
      <w:bookmarkStart w:id="0" w:name="_GoBack"/>
      <w:bookmarkEnd w:id="0"/>
    </w:p>
    <w:p w14:paraId="0D594F56">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高新区龙头管理办</w:t>
      </w:r>
      <w:r>
        <w:rPr>
          <w:rFonts w:ascii="仿宋" w:hAnsi="仿宋" w:eastAsia="仿宋" w:cs="仿宋"/>
          <w:b/>
          <w:bCs/>
          <w:color w:val="000000"/>
          <w:kern w:val="0"/>
          <w:sz w:val="30"/>
          <w:szCs w:val="30"/>
        </w:rPr>
        <w:t>20</w:t>
      </w:r>
      <w:r>
        <w:rPr>
          <w:rFonts w:hint="eastAsia" w:ascii="仿宋" w:hAnsi="仿宋" w:eastAsia="仿宋" w:cs="仿宋"/>
          <w:b/>
          <w:bCs/>
          <w:color w:val="000000"/>
          <w:kern w:val="0"/>
          <w:sz w:val="30"/>
          <w:szCs w:val="30"/>
        </w:rPr>
        <w:t>20年部门预算</w:t>
      </w:r>
    </w:p>
    <w:p w14:paraId="495CDC7A">
      <w:pPr>
        <w:widowControl/>
        <w:spacing w:line="330" w:lineRule="atLeast"/>
        <w:ind w:firstLine="600" w:firstLineChars="200"/>
        <w:jc w:val="left"/>
        <w:rPr>
          <w:rFonts w:ascii="Verdana" w:hAnsi="Verdana" w:eastAsia="仿宋"/>
          <w:color w:val="000000"/>
          <w:kern w:val="0"/>
          <w:sz w:val="30"/>
          <w:szCs w:val="30"/>
        </w:rPr>
      </w:pPr>
    </w:p>
    <w:p w14:paraId="151578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D3990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D7CDEE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、负责区域发展总体规划、专项规划及施工图的编制和报批，并组织实施；</w:t>
      </w:r>
    </w:p>
    <w:p w14:paraId="6A4502A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、负责编报区域内土地开发年度计划、制定土地开发实施方案，并组织实施；</w:t>
      </w:r>
      <w:r>
        <w:rPr>
          <w:rFonts w:ascii="仿宋" w:hAnsi="仿宋" w:eastAsia="仿宋" w:cs="仿宋"/>
          <w:color w:val="000000"/>
          <w:kern w:val="0"/>
          <w:sz w:val="30"/>
          <w:szCs w:val="30"/>
        </w:rPr>
        <w:t xml:space="preserve"> </w:t>
      </w:r>
    </w:p>
    <w:p w14:paraId="544B91E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、负责区域内财政性投资项目的建设、开发、管理，并组织实施；</w:t>
      </w:r>
    </w:p>
    <w:p w14:paraId="71A6E1A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、负责入区企业的配套建设服务工作；</w:t>
      </w:r>
      <w:r>
        <w:rPr>
          <w:rFonts w:ascii="仿宋" w:hAnsi="仿宋" w:eastAsia="仿宋" w:cs="仿宋"/>
          <w:color w:val="000000"/>
          <w:kern w:val="0"/>
          <w:sz w:val="30"/>
          <w:szCs w:val="30"/>
        </w:rPr>
        <w:t xml:space="preserve"> </w:t>
      </w:r>
    </w:p>
    <w:p w14:paraId="6252CE0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、负责区域内产业结构调整，包括企业搬迁改造，土地、房产等资产整合工作；</w:t>
      </w:r>
    </w:p>
    <w:p w14:paraId="1D4E1C8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、负责区域内综合事务的管理及协调；</w:t>
      </w:r>
    </w:p>
    <w:p w14:paraId="73FE441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、协助园区建设管理部门对入区建设项目实施监督管理工作；</w:t>
      </w:r>
    </w:p>
    <w:p w14:paraId="06BE03E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、协助园区征地动迁管理部门进行区域内征地动迁工作。</w:t>
      </w:r>
    </w:p>
    <w:p w14:paraId="2EC1C3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C61F0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龙头管理办</w:t>
      </w:r>
      <w:r>
        <w:rPr>
          <w:rFonts w:hint="eastAsia" w:ascii="仿宋" w:hAnsi="仿宋" w:eastAsia="仿宋" w:cs="仿宋"/>
          <w:color w:val="000000"/>
          <w:kern w:val="0"/>
          <w:sz w:val="30"/>
          <w:szCs w:val="30"/>
        </w:rPr>
        <w:t>部门预算为本部综合收支计划，无二级单位。</w:t>
      </w:r>
    </w:p>
    <w:p w14:paraId="72148ACA">
      <w:pPr>
        <w:widowControl/>
        <w:spacing w:line="330" w:lineRule="atLeast"/>
        <w:ind w:firstLine="600" w:firstLineChars="200"/>
        <w:jc w:val="left"/>
        <w:rPr>
          <w:rFonts w:ascii="仿宋" w:hAnsi="仿宋" w:eastAsia="仿宋" w:cs="仿宋"/>
          <w:color w:val="000000"/>
          <w:kern w:val="0"/>
          <w:sz w:val="30"/>
          <w:szCs w:val="30"/>
        </w:rPr>
      </w:pPr>
    </w:p>
    <w:p w14:paraId="68685EC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902C4F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65F8E25">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按照综合预算的原则，本部门所有收入和支出均纳入部门预算管理，无下级预算单位。收入包括：财政拨款收入303.7万元；支出包括：</w:t>
      </w:r>
      <w:r>
        <w:rPr>
          <w:rFonts w:hint="eastAsia" w:ascii="仿宋" w:hAnsi="仿宋" w:eastAsia="仿宋" w:cs="仿宋"/>
          <w:sz w:val="30"/>
          <w:szCs w:val="30"/>
        </w:rPr>
        <w:t>工资福利和对个人家庭补助支出249.3万元，商品和服务支出54.4万元。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年预算数减少65.6万元，其中财政拨款收入比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年预算数减少65.6万元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w:t>
      </w:r>
      <w:r>
        <w:rPr>
          <w:rFonts w:hint="eastAsia" w:ascii="仿宋" w:eastAsia="仿宋" w:cs="仿宋"/>
          <w:color w:val="000000"/>
          <w:kern w:val="0"/>
          <w:sz w:val="30"/>
          <w:szCs w:val="30"/>
        </w:rPr>
        <w:t>9年预算数减少65.6万元，其中</w:t>
      </w:r>
      <w:r>
        <w:rPr>
          <w:rFonts w:hint="eastAsia" w:ascii="仿宋" w:eastAsia="仿宋" w:cs="仿宋"/>
          <w:sz w:val="30"/>
          <w:szCs w:val="30"/>
        </w:rPr>
        <w:t>工资福利和对个人家庭补助支出减少43万元，商品和服务支出减少22.6万元。</w:t>
      </w:r>
    </w:p>
    <w:p w14:paraId="09148C4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4C4B2BF">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本年无“三公”经费，同去年相同。主要是按照中央及市委、市政府关于厉行节约、改进工作作风、密切联系群众</w:t>
      </w:r>
      <w:r>
        <w:rPr>
          <w:rFonts w:hint="eastAsia" w:ascii="仿宋" w:hAnsi="仿宋" w:eastAsia="仿宋" w:cs="仿宋"/>
          <w:sz w:val="30"/>
          <w:szCs w:val="30"/>
          <w:lang w:eastAsia="zh-CN"/>
        </w:rPr>
        <w:t>中央八项规定</w:t>
      </w:r>
      <w:r>
        <w:rPr>
          <w:rFonts w:hint="eastAsia" w:ascii="仿宋" w:hAnsi="仿宋" w:eastAsia="仿宋" w:cs="仿宋"/>
          <w:sz w:val="30"/>
          <w:szCs w:val="30"/>
        </w:rPr>
        <w:t>等有关要求，严格控制“三公”经费支出。</w:t>
      </w:r>
    </w:p>
    <w:p w14:paraId="7C084B9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99C5265">
      <w:pPr>
        <w:widowControl/>
        <w:spacing w:line="330" w:lineRule="atLeast"/>
        <w:ind w:firstLine="600" w:firstLineChars="200"/>
        <w:jc w:val="left"/>
        <w:rPr>
          <w:rFonts w:ascii="仿宋" w:hAnsi="仿宋" w:eastAsia="仿宋"/>
          <w:color w:val="000000"/>
          <w:kern w:val="0"/>
          <w:sz w:val="30"/>
          <w:szCs w:val="30"/>
        </w:rPr>
      </w:pPr>
      <w:r>
        <w:rPr>
          <w:rFonts w:hint="eastAsia" w:ascii="仿宋" w:hAnsi="仿宋" w:eastAsia="仿宋" w:cs="仿宋"/>
          <w:color w:val="000000"/>
          <w:kern w:val="0"/>
          <w:sz w:val="30"/>
          <w:szCs w:val="30"/>
        </w:rPr>
        <w:t>机关运行经费包括定额公用经费7万元。</w:t>
      </w:r>
    </w:p>
    <w:p w14:paraId="331FEB4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8E360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794D70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9D9F4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E1D281B">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2C7E201C">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095F7553">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58F991F1">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20年，按照“先有绩效，后有预算”原则，本部门共计编制绩效目标5个，预算金额16万元，占项目支出预算比重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38158D30">
      <w:pPr>
        <w:ind w:firstLine="450" w:firstLineChars="150"/>
        <w:rPr>
          <w:rFonts w:ascii="仿宋" w:hAnsi="仿宋" w:eastAsia="仿宋"/>
          <w:sz w:val="30"/>
          <w:szCs w:val="30"/>
        </w:rPr>
      </w:pPr>
      <w:r>
        <w:rPr>
          <w:rFonts w:hint="eastAsia" w:ascii="仿宋" w:hAnsi="仿宋" w:eastAsia="仿宋"/>
          <w:sz w:val="30"/>
          <w:szCs w:val="30"/>
        </w:rPr>
        <w:t>八、市政设施管护项目情况</w:t>
      </w:r>
    </w:p>
    <w:p w14:paraId="5D56F89D">
      <w:pPr>
        <w:rPr>
          <w:rFonts w:ascii="仿宋" w:hAnsi="仿宋" w:eastAsia="仿宋"/>
          <w:sz w:val="30"/>
          <w:szCs w:val="30"/>
        </w:rPr>
      </w:pPr>
      <w:r>
        <w:rPr>
          <w:rFonts w:hint="eastAsia" w:ascii="仿宋" w:hAnsi="仿宋" w:eastAsia="仿宋"/>
          <w:sz w:val="30"/>
          <w:szCs w:val="30"/>
        </w:rPr>
        <w:t xml:space="preserve">    1、项目概述</w:t>
      </w:r>
    </w:p>
    <w:p w14:paraId="651255D5">
      <w:pPr>
        <w:ind w:firstLine="600" w:firstLineChars="200"/>
        <w:rPr>
          <w:rFonts w:ascii="仿宋" w:hAnsi="仿宋" w:eastAsia="仿宋"/>
          <w:sz w:val="30"/>
          <w:szCs w:val="30"/>
        </w:rPr>
      </w:pPr>
      <w:r>
        <w:rPr>
          <w:rFonts w:hint="eastAsia" w:ascii="仿宋" w:hAnsi="仿宋" w:eastAsia="仿宋"/>
          <w:sz w:val="30"/>
          <w:szCs w:val="30"/>
        </w:rPr>
        <w:t>2009年4月至2019年12月，龙头分园合计建设市政道路约18.5万平方米，完成市政绿化约10万平方米，栽种各类苗木约1.8万棵，按照我办职能及属地化管理原则，上述建成市政设施在市政管理部门接收之前由我办负责管护，以确保市政设施完整，实现正常功能。</w:t>
      </w:r>
    </w:p>
    <w:p w14:paraId="590AC830">
      <w:pPr>
        <w:rPr>
          <w:rFonts w:ascii="仿宋" w:hAnsi="仿宋" w:eastAsia="仿宋"/>
          <w:sz w:val="30"/>
          <w:szCs w:val="30"/>
        </w:rPr>
      </w:pPr>
      <w:r>
        <w:rPr>
          <w:rFonts w:hint="eastAsia" w:ascii="仿宋" w:hAnsi="仿宋" w:eastAsia="仿宋"/>
          <w:sz w:val="30"/>
          <w:szCs w:val="30"/>
        </w:rPr>
        <w:t xml:space="preserve">    2、立项依据</w:t>
      </w:r>
    </w:p>
    <w:p w14:paraId="46C04459">
      <w:pPr>
        <w:ind w:firstLine="600" w:firstLineChars="200"/>
        <w:rPr>
          <w:rFonts w:ascii="仿宋" w:hAnsi="仿宋" w:eastAsia="仿宋"/>
          <w:sz w:val="30"/>
          <w:szCs w:val="30"/>
        </w:rPr>
      </w:pPr>
      <w:r>
        <w:rPr>
          <w:rFonts w:hint="eastAsia" w:ascii="仿宋" w:hAnsi="仿宋" w:eastAsia="仿宋"/>
          <w:sz w:val="30"/>
          <w:szCs w:val="30"/>
        </w:rPr>
        <w:t>（1）国务院《城市道路管理条例》；</w:t>
      </w:r>
    </w:p>
    <w:p w14:paraId="6DC746D1">
      <w:pPr>
        <w:ind w:firstLine="600" w:firstLineChars="200"/>
        <w:rPr>
          <w:rFonts w:ascii="仿宋" w:hAnsi="仿宋" w:eastAsia="仿宋"/>
          <w:sz w:val="30"/>
          <w:szCs w:val="30"/>
        </w:rPr>
      </w:pPr>
      <w:r>
        <w:rPr>
          <w:rFonts w:hint="eastAsia" w:ascii="仿宋" w:hAnsi="仿宋" w:eastAsia="仿宋"/>
          <w:sz w:val="30"/>
          <w:szCs w:val="30"/>
        </w:rPr>
        <w:t>（2）《辽宁省市政公用设施保护条例》；</w:t>
      </w:r>
    </w:p>
    <w:p w14:paraId="220C86F8">
      <w:pPr>
        <w:ind w:firstLine="600" w:firstLineChars="200"/>
        <w:rPr>
          <w:rFonts w:ascii="仿宋" w:hAnsi="仿宋" w:eastAsia="仿宋"/>
          <w:sz w:val="30"/>
          <w:szCs w:val="30"/>
        </w:rPr>
      </w:pPr>
      <w:r>
        <w:rPr>
          <w:rFonts w:hint="eastAsia" w:ascii="仿宋" w:hAnsi="仿宋" w:eastAsia="仿宋"/>
          <w:sz w:val="30"/>
          <w:szCs w:val="30"/>
        </w:rPr>
        <w:t>（3）《大连市市政公用基础设施管理条例》；</w:t>
      </w:r>
    </w:p>
    <w:p w14:paraId="120DCE9E">
      <w:pPr>
        <w:ind w:firstLine="600" w:firstLineChars="200"/>
        <w:rPr>
          <w:rFonts w:ascii="仿宋" w:hAnsi="仿宋" w:eastAsia="仿宋"/>
          <w:sz w:val="30"/>
          <w:szCs w:val="30"/>
        </w:rPr>
      </w:pPr>
      <w:r>
        <w:rPr>
          <w:rFonts w:hint="eastAsia" w:ascii="仿宋" w:hAnsi="仿宋" w:eastAsia="仿宋"/>
          <w:sz w:val="30"/>
          <w:szCs w:val="30"/>
        </w:rPr>
        <w:t>（4）《大连市城市市政设施管理条例》；</w:t>
      </w:r>
    </w:p>
    <w:p w14:paraId="2DF8471B">
      <w:pPr>
        <w:ind w:left="1380" w:leftChars="300" w:hanging="750" w:hangingChars="250"/>
        <w:rPr>
          <w:rFonts w:ascii="仿宋" w:hAnsi="仿宋" w:eastAsia="仿宋"/>
          <w:sz w:val="30"/>
          <w:szCs w:val="30"/>
        </w:rPr>
      </w:pPr>
      <w:r>
        <w:rPr>
          <w:rFonts w:hint="eastAsia" w:ascii="仿宋" w:hAnsi="仿宋" w:eastAsia="仿宋"/>
          <w:sz w:val="30"/>
          <w:szCs w:val="30"/>
        </w:rPr>
        <w:t>（5）《关于大连高新技术产业园区龙头分园开发管理办公室更名及调整编制、职能的通知》大高编发〔2009〕22号。</w:t>
      </w:r>
    </w:p>
    <w:p w14:paraId="105D4B65">
      <w:pPr>
        <w:rPr>
          <w:rFonts w:ascii="仿宋" w:hAnsi="仿宋" w:eastAsia="仿宋"/>
          <w:sz w:val="30"/>
          <w:szCs w:val="30"/>
        </w:rPr>
      </w:pPr>
      <w:r>
        <w:rPr>
          <w:rFonts w:hint="eastAsia" w:ascii="仿宋" w:hAnsi="仿宋" w:eastAsia="仿宋"/>
          <w:sz w:val="30"/>
          <w:szCs w:val="30"/>
        </w:rPr>
        <w:t xml:space="preserve">    3、实施主体</w:t>
      </w:r>
    </w:p>
    <w:p w14:paraId="2EC4559A">
      <w:pPr>
        <w:ind w:firstLine="600" w:firstLineChars="200"/>
        <w:rPr>
          <w:rFonts w:ascii="仿宋" w:hAnsi="仿宋" w:eastAsia="仿宋"/>
          <w:sz w:val="30"/>
          <w:szCs w:val="30"/>
        </w:rPr>
      </w:pPr>
      <w:r>
        <w:rPr>
          <w:rFonts w:hint="eastAsia" w:ascii="仿宋" w:hAnsi="仿宋" w:eastAsia="仿宋"/>
          <w:sz w:val="30"/>
          <w:szCs w:val="30"/>
        </w:rPr>
        <w:t>龙头建设开发管理办公室</w:t>
      </w:r>
    </w:p>
    <w:p w14:paraId="4B42533D">
      <w:pPr>
        <w:rPr>
          <w:rFonts w:ascii="仿宋" w:hAnsi="仿宋" w:eastAsia="仿宋"/>
          <w:sz w:val="30"/>
          <w:szCs w:val="30"/>
        </w:rPr>
      </w:pPr>
      <w:r>
        <w:rPr>
          <w:rFonts w:hint="eastAsia" w:ascii="仿宋" w:hAnsi="仿宋" w:eastAsia="仿宋"/>
          <w:sz w:val="30"/>
          <w:szCs w:val="30"/>
        </w:rPr>
        <w:t xml:space="preserve">    4、实施方案</w:t>
      </w:r>
    </w:p>
    <w:p w14:paraId="700E6065">
      <w:pPr>
        <w:ind w:firstLine="600" w:firstLineChars="200"/>
        <w:rPr>
          <w:rFonts w:ascii="仿宋" w:hAnsi="仿宋" w:eastAsia="仿宋"/>
          <w:sz w:val="30"/>
          <w:szCs w:val="30"/>
        </w:rPr>
      </w:pPr>
      <w:r>
        <w:rPr>
          <w:rFonts w:hint="eastAsia" w:ascii="仿宋" w:hAnsi="仿宋" w:eastAsia="仿宋"/>
          <w:sz w:val="30"/>
          <w:szCs w:val="30"/>
        </w:rPr>
        <w:t>市政设施管护项目以确保龙头分园已建成市政设施完整、完备、实现正常使用功能为主要目标。</w:t>
      </w:r>
    </w:p>
    <w:p w14:paraId="48A1B5B9">
      <w:pPr>
        <w:ind w:firstLine="600" w:firstLineChars="200"/>
        <w:rPr>
          <w:rFonts w:ascii="仿宋" w:hAnsi="仿宋" w:eastAsia="仿宋"/>
          <w:sz w:val="30"/>
          <w:szCs w:val="30"/>
        </w:rPr>
      </w:pPr>
      <w:r>
        <w:rPr>
          <w:rFonts w:hint="eastAsia" w:ascii="仿宋" w:hAnsi="仿宋" w:eastAsia="仿宋"/>
          <w:sz w:val="30"/>
          <w:szCs w:val="30"/>
        </w:rPr>
        <w:t>经我办请示管委会批示同意后，参照区城管局市政设施管护标准，经区财政局初审，由我办委托管护单位组织龙头分园市政设施日常管护，包括：（1）组织人员对龙头分园区域道路进行日常扫保，保证路面整洁，提高道路使用年限；（2）组织人员对龙头分园区域市政绿化苗木进行日常管护，确保植物成活率；（3）冬季冰雪天气组织人员、车辆、设备对龙头分园区域道路进行除冰、扫雪，确保车辆、行人安全。</w:t>
      </w:r>
    </w:p>
    <w:p w14:paraId="0247781B">
      <w:pPr>
        <w:rPr>
          <w:rFonts w:ascii="仿宋" w:hAnsi="仿宋" w:eastAsia="仿宋"/>
          <w:sz w:val="30"/>
          <w:szCs w:val="30"/>
        </w:rPr>
      </w:pPr>
      <w:r>
        <w:rPr>
          <w:rFonts w:hint="eastAsia" w:ascii="仿宋" w:hAnsi="仿宋" w:eastAsia="仿宋"/>
          <w:sz w:val="30"/>
          <w:szCs w:val="30"/>
        </w:rPr>
        <w:t xml:space="preserve">    5、实施周期</w:t>
      </w:r>
    </w:p>
    <w:p w14:paraId="1AE649A7">
      <w:pPr>
        <w:ind w:firstLine="600" w:firstLineChars="200"/>
        <w:rPr>
          <w:rFonts w:ascii="仿宋" w:hAnsi="仿宋" w:eastAsia="仿宋"/>
          <w:sz w:val="30"/>
          <w:szCs w:val="30"/>
        </w:rPr>
      </w:pPr>
      <w:r>
        <w:rPr>
          <w:rFonts w:hint="eastAsia" w:ascii="仿宋" w:hAnsi="仿宋" w:eastAsia="仿宋"/>
          <w:sz w:val="30"/>
          <w:szCs w:val="30"/>
        </w:rPr>
        <w:t>2020年4月1日至2021年3月31日，期间以实际管护期限为准。</w:t>
      </w:r>
    </w:p>
    <w:p w14:paraId="2A9BB1D7">
      <w:pPr>
        <w:rPr>
          <w:rFonts w:ascii="仿宋" w:hAnsi="仿宋" w:eastAsia="仿宋"/>
          <w:sz w:val="30"/>
          <w:szCs w:val="30"/>
        </w:rPr>
      </w:pPr>
      <w:r>
        <w:rPr>
          <w:rFonts w:hint="eastAsia" w:ascii="仿宋" w:hAnsi="仿宋" w:eastAsia="仿宋"/>
          <w:sz w:val="30"/>
          <w:szCs w:val="30"/>
        </w:rPr>
        <w:t xml:space="preserve">    6、年度预算安排</w:t>
      </w:r>
    </w:p>
    <w:p w14:paraId="0085E4C4">
      <w:pPr>
        <w:ind w:firstLine="640"/>
        <w:rPr>
          <w:rFonts w:ascii="仿宋" w:hAnsi="仿宋" w:eastAsia="仿宋"/>
          <w:sz w:val="30"/>
          <w:szCs w:val="30"/>
        </w:rPr>
      </w:pPr>
      <w:r>
        <w:rPr>
          <w:rFonts w:hint="eastAsia" w:ascii="仿宋" w:hAnsi="仿宋" w:eastAsia="仿宋"/>
          <w:sz w:val="30"/>
          <w:szCs w:val="30"/>
        </w:rPr>
        <w:t>拟安排该项目一般公共预算5万元。</w:t>
      </w:r>
    </w:p>
    <w:p w14:paraId="437FD6E9">
      <w:pPr>
        <w:widowControl/>
        <w:spacing w:line="330" w:lineRule="atLeast"/>
        <w:ind w:firstLine="600" w:firstLineChars="200"/>
        <w:jc w:val="left"/>
        <w:rPr>
          <w:rFonts w:ascii="仿宋" w:hAnsi="仿宋" w:eastAsia="仿宋" w:cs="仿宋"/>
          <w:color w:val="000000"/>
          <w:kern w:val="0"/>
          <w:sz w:val="30"/>
          <w:szCs w:val="30"/>
        </w:rPr>
      </w:pPr>
    </w:p>
    <w:p w14:paraId="4D6F18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0997F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F6BD3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52923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7E090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D22AC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F8ED5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A5D31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40565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9C1D7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5B45C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FC62D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EA9BF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1B654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D2E17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69C8E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E833F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7B31F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90ECE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31B984E">
      <w:pPr>
        <w:widowControl/>
        <w:spacing w:line="330" w:lineRule="atLeast"/>
        <w:ind w:firstLine="600" w:firstLineChars="200"/>
        <w:jc w:val="left"/>
        <w:rPr>
          <w:rFonts w:ascii="仿宋" w:hAnsi="仿宋" w:eastAsia="仿宋"/>
          <w:color w:val="000000"/>
          <w:sz w:val="30"/>
          <w:szCs w:val="30"/>
        </w:rPr>
      </w:pPr>
    </w:p>
    <w:p w14:paraId="1DE46668">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p w14:paraId="783609A6">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76C4"/>
    <w:rsid w:val="000745B7"/>
    <w:rsid w:val="000932B0"/>
    <w:rsid w:val="00094F49"/>
    <w:rsid w:val="000F1728"/>
    <w:rsid w:val="000F74FC"/>
    <w:rsid w:val="00121B13"/>
    <w:rsid w:val="00125EC5"/>
    <w:rsid w:val="00141695"/>
    <w:rsid w:val="00155DE4"/>
    <w:rsid w:val="00164F07"/>
    <w:rsid w:val="001961A4"/>
    <w:rsid w:val="001C35EC"/>
    <w:rsid w:val="001C7578"/>
    <w:rsid w:val="001D08C7"/>
    <w:rsid w:val="001E3E93"/>
    <w:rsid w:val="001F5554"/>
    <w:rsid w:val="00210772"/>
    <w:rsid w:val="002336A3"/>
    <w:rsid w:val="00264775"/>
    <w:rsid w:val="00272764"/>
    <w:rsid w:val="002971BE"/>
    <w:rsid w:val="002B2962"/>
    <w:rsid w:val="002F344A"/>
    <w:rsid w:val="00312E87"/>
    <w:rsid w:val="0037546C"/>
    <w:rsid w:val="00413762"/>
    <w:rsid w:val="0041540B"/>
    <w:rsid w:val="00426A60"/>
    <w:rsid w:val="004E2426"/>
    <w:rsid w:val="00505E18"/>
    <w:rsid w:val="00593360"/>
    <w:rsid w:val="005A04CC"/>
    <w:rsid w:val="005A4389"/>
    <w:rsid w:val="005C04D5"/>
    <w:rsid w:val="005E08EE"/>
    <w:rsid w:val="005E5512"/>
    <w:rsid w:val="006306BD"/>
    <w:rsid w:val="00636799"/>
    <w:rsid w:val="00670B24"/>
    <w:rsid w:val="006905E1"/>
    <w:rsid w:val="006A1001"/>
    <w:rsid w:val="006A522C"/>
    <w:rsid w:val="006E7C30"/>
    <w:rsid w:val="00715E00"/>
    <w:rsid w:val="00726D2F"/>
    <w:rsid w:val="00755320"/>
    <w:rsid w:val="00755C7B"/>
    <w:rsid w:val="00755F49"/>
    <w:rsid w:val="00761481"/>
    <w:rsid w:val="007805EB"/>
    <w:rsid w:val="007905EC"/>
    <w:rsid w:val="007E7820"/>
    <w:rsid w:val="0081681A"/>
    <w:rsid w:val="008620BC"/>
    <w:rsid w:val="008A0FBF"/>
    <w:rsid w:val="008B089D"/>
    <w:rsid w:val="008B5063"/>
    <w:rsid w:val="008C3661"/>
    <w:rsid w:val="008D083F"/>
    <w:rsid w:val="0090046B"/>
    <w:rsid w:val="00937B69"/>
    <w:rsid w:val="0095746F"/>
    <w:rsid w:val="00961681"/>
    <w:rsid w:val="009633ED"/>
    <w:rsid w:val="00997DCF"/>
    <w:rsid w:val="009E0DF0"/>
    <w:rsid w:val="009F04FF"/>
    <w:rsid w:val="009F1015"/>
    <w:rsid w:val="00A01AF6"/>
    <w:rsid w:val="00A12672"/>
    <w:rsid w:val="00A24AB2"/>
    <w:rsid w:val="00A54194"/>
    <w:rsid w:val="00A96C7E"/>
    <w:rsid w:val="00AA4E12"/>
    <w:rsid w:val="00AC7600"/>
    <w:rsid w:val="00AF7CAA"/>
    <w:rsid w:val="00B50108"/>
    <w:rsid w:val="00B84A06"/>
    <w:rsid w:val="00B94226"/>
    <w:rsid w:val="00BF2355"/>
    <w:rsid w:val="00C638B7"/>
    <w:rsid w:val="00C83D2E"/>
    <w:rsid w:val="00CA10E0"/>
    <w:rsid w:val="00CA3A38"/>
    <w:rsid w:val="00CA701F"/>
    <w:rsid w:val="00CE2D6D"/>
    <w:rsid w:val="00CF5381"/>
    <w:rsid w:val="00D8349F"/>
    <w:rsid w:val="00D97C8B"/>
    <w:rsid w:val="00DA608D"/>
    <w:rsid w:val="00DC1136"/>
    <w:rsid w:val="00DC3D4F"/>
    <w:rsid w:val="00DD605A"/>
    <w:rsid w:val="00E311E8"/>
    <w:rsid w:val="00E9744A"/>
    <w:rsid w:val="00EB5787"/>
    <w:rsid w:val="00EB6E55"/>
    <w:rsid w:val="00EE000F"/>
    <w:rsid w:val="00EE134B"/>
    <w:rsid w:val="00EE7AE1"/>
    <w:rsid w:val="00EF30A0"/>
    <w:rsid w:val="00F01060"/>
    <w:rsid w:val="00F445E6"/>
    <w:rsid w:val="00F627CB"/>
    <w:rsid w:val="00FA087B"/>
    <w:rsid w:val="00FB3956"/>
    <w:rsid w:val="00FB48A0"/>
    <w:rsid w:val="00FD7251"/>
    <w:rsid w:val="00FF1C07"/>
    <w:rsid w:val="555430E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2666</Words>
  <Characters>2772</Characters>
  <Lines>20</Lines>
  <Paragraphs>5</Paragraphs>
  <TotalTime>50</TotalTime>
  <ScaleCrop>false</ScaleCrop>
  <LinksUpToDate>false</LinksUpToDate>
  <CharactersWithSpaces>2839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2025-12-19T07:17:06Z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340172E6065C43CD88BB6257FC4CF71E_12</vt:lpwstr>
  </property>
</Properties>
</file>