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21578">
      <w:pPr>
        <w:spacing w:line="600" w:lineRule="exact"/>
        <w:rPr>
          <w:rFonts w:ascii="仿宋_GB2312" w:eastAsia="仿宋_GB2312"/>
          <w:sz w:val="32"/>
          <w:szCs w:val="32"/>
        </w:rPr>
      </w:pPr>
      <w:bookmarkStart w:id="0" w:name="_GoBack"/>
      <w:bookmarkEnd w:id="0"/>
    </w:p>
    <w:p w14:paraId="6978F32E">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高新区市场监督管理局</w:t>
      </w:r>
      <w:r>
        <w:rPr>
          <w:rFonts w:ascii="仿宋" w:hAnsi="仿宋" w:eastAsia="仿宋" w:cs="仿宋"/>
          <w:b/>
          <w:bCs/>
          <w:color w:val="000000"/>
          <w:kern w:val="0"/>
          <w:sz w:val="30"/>
          <w:szCs w:val="30"/>
        </w:rPr>
        <w:t>20</w:t>
      </w:r>
      <w:r>
        <w:rPr>
          <w:rFonts w:hint="eastAsia" w:ascii="仿宋" w:hAnsi="仿宋" w:eastAsia="仿宋" w:cs="仿宋"/>
          <w:b/>
          <w:bCs/>
          <w:color w:val="000000"/>
          <w:kern w:val="0"/>
          <w:sz w:val="30"/>
          <w:szCs w:val="30"/>
        </w:rPr>
        <w:t>20年部门预算</w:t>
      </w:r>
    </w:p>
    <w:p w14:paraId="4C37196A">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346891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42161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8BBF14A">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接受上级业务主管部门指导，履行食品药品安全监督管理、工商行政管理、质量技术监督管理职责，贯彻执行相关法律、法规、规章和方针、政策、规划；建立食品生产、食品流通、餐饮服务综合监督机制；依法规范生产、经营、交易等市场行为，保障公平竞争；运用信息公示、信息共享和信用约束等手段，促进诚信守法，维护市场秩序。</w:t>
      </w:r>
    </w:p>
    <w:p w14:paraId="0EA9A788">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（一）食品药品安全监督管理</w:t>
      </w:r>
    </w:p>
    <w:p w14:paraId="0F1FA41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、负责食品生产、流通、经营、食品添加剂、食品相关产品的监督管理。监督实施食品经营安全标准和管理规范。</w:t>
      </w:r>
    </w:p>
    <w:p w14:paraId="620B6E7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药品、医疗器械经营、使用和医疗器械生产（一类）监督管理；监督实施国家药品法定标准和国家基本药物目录；监督实施医疗器材产品法定标准和产品分类管理目录；监督实施处方药和非处方药分类管理制度；负责药品不良反应和医疗器械不良事件监测。</w:t>
      </w:r>
    </w:p>
    <w:p w14:paraId="1343EBE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、按权限依法监督管理辖区内麻醉药品、精神药品、医疗用毒性药品、放射性药品、兴奋剂药品和药品类易制毒化学品等特殊管理药品。</w:t>
      </w:r>
    </w:p>
    <w:p w14:paraId="573A0AA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、负责酒类、保健食品和化妆品市场监管；监督实施保健食品、化妆品的卫生标准、技术和管理规范；监督实施餐饮服务食品安全标准和管理规范。</w:t>
      </w:r>
    </w:p>
    <w:p w14:paraId="4221DE6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、建立健全食品药品安全应急体系和安全事故应急预案。负责辖区内重大活动餐饮服务食品安全保障工作。</w:t>
      </w:r>
    </w:p>
    <w:p w14:paraId="76B7DBE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、建立相关部门协调配合、各行其职、各级政府负总责的食品药品安全监管工作机制，落实食品安全企业责任主体。组织建立食品安全协管员队伍。</w:t>
      </w:r>
    </w:p>
    <w:p w14:paraId="023622D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（二）工商行政管理</w:t>
      </w:r>
    </w:p>
    <w:p w14:paraId="0E9839B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、负责建立全区企业、个体工商户登记和监管档案和信息统计分析制度；建立并落实企业、个体工商户日常监督管理机制。建立并落实企业、个体工商户信息公示、信用分类监督和信息共享制度。</w:t>
      </w:r>
    </w:p>
    <w:p w14:paraId="7454EC1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、负责市场登记事项、市场交易、网络交易及有关服务行为的监管；负责对经纪活动、直销行为的监督管理。查处各类经济违法违章案件。配合做好“扫黄打非”等专项治理工作。</w:t>
      </w:r>
    </w:p>
    <w:p w14:paraId="11109D1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、制定全区商标发展规划，培育推荐全国驰名商标和省、市著名商标。负责商标日常监督管理，保障商标专用权，保护特殊标志、官方标志和地理标志。</w:t>
      </w:r>
    </w:p>
    <w:p w14:paraId="06A2F8B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、负责广告经营行为监管。落实各类媒介广告发布行为的监测制度，查处虚假违法广告行为。负责广告经营和发布行为的行政许可；指导广告行业发展。</w:t>
      </w:r>
    </w:p>
    <w:p w14:paraId="2E6ADE2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、负责经济合同行为监管工作，推广示范合同文本，实施动产抵押物登记和合同格式条款备案工作，监督管理拍卖行为。</w:t>
      </w:r>
    </w:p>
    <w:p w14:paraId="0E1BDE9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（三）质量技术监督管理</w:t>
      </w:r>
    </w:p>
    <w:p w14:paraId="3D23578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、组织推进质量发展工作；组织实施名牌战略。</w:t>
      </w:r>
    </w:p>
    <w:p w14:paraId="16D7A39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、负责质量综合管理和产品质量诚信体系建设工作；组织实施质量奖励制度。</w:t>
      </w:r>
    </w:p>
    <w:p w14:paraId="26BBA6E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、负责产品质量安全监督和产品质量检查；监督管理产品防伪工作；负责工业产品生产许可证有关工作。</w:t>
      </w:r>
    </w:p>
    <w:p w14:paraId="687C263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、负责产品标准化管理工作。管理采用国际标准和企业标准备案工作，监督标准的贯彻执行；管理组织机构代码和商品条码工作。</w:t>
      </w:r>
    </w:p>
    <w:p w14:paraId="04D63FF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、负责计量管理工作。推行法定计量单位和国家计量制度；落实计量器具强制检定制度；规范和监督商品计量和市场计量行为。</w:t>
      </w:r>
    </w:p>
    <w:p w14:paraId="6A90267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、负责认证监管工作。宣传推动强制性、自愿性产品和体系认证工作的开展。</w:t>
      </w:r>
    </w:p>
    <w:p w14:paraId="79C1431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、受委托承担区内在用特种设备的使用登记工作；负责特种设备使用环节和气瓶充装单位的监督检查；负责辖区内特种设备使用单位安全管理人员的考核发证工作。</w:t>
      </w:r>
    </w:p>
    <w:p w14:paraId="2A1C157B">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（四）依权限负责涉及食品药品监督管理、工商行政管理、质量技术监督管理的各类行政审批和行政许可。</w:t>
      </w:r>
    </w:p>
    <w:p w14:paraId="148267C1">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（五）依法承担消费者权益保护责任。建立消费者权益保护机制，组织开展消费维权工作；负责消费者咨询、申诉、举报受理、处理；指导消费者协会工作。</w:t>
      </w:r>
    </w:p>
    <w:p w14:paraId="1B5F18B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（六）承担区食品安全委员会的日常工作。拟定全区食品安全工作规划和工作机制，组织开展全区食品安全形势评估，落实相关部门工作职责，协调全区重大食品安全事故处置，承担食品安全考评工作。</w:t>
      </w:r>
    </w:p>
    <w:p w14:paraId="6AD55C5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（七）依法查处违反食品药品监督管理、工商行政管理、质量技术监督法律、法规和规章的违法违章行为。</w:t>
      </w:r>
    </w:p>
    <w:p w14:paraId="3684255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（八）承办高新区管委会和上级部门交办的其他事项。</w:t>
      </w:r>
    </w:p>
    <w:p w14:paraId="735E8F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E61A4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市场监督管理局</w:t>
      </w:r>
      <w:r>
        <w:rPr>
          <w:rFonts w:hint="eastAsia" w:ascii="仿宋" w:hAnsi="仿宋" w:eastAsia="仿宋" w:cs="仿宋"/>
          <w:color w:val="000000"/>
          <w:kern w:val="0"/>
          <w:sz w:val="30"/>
          <w:szCs w:val="30"/>
        </w:rPr>
        <w:t>部门预算为本部综合收支计划，无二级单位。</w:t>
      </w:r>
    </w:p>
    <w:p w14:paraId="51F14DBB">
      <w:pPr>
        <w:widowControl/>
        <w:spacing w:line="330" w:lineRule="atLeast"/>
        <w:ind w:firstLine="600" w:firstLineChars="200"/>
        <w:jc w:val="left"/>
        <w:rPr>
          <w:rFonts w:ascii="仿宋" w:hAnsi="仿宋" w:eastAsia="仿宋" w:cs="仿宋"/>
          <w:color w:val="000000"/>
          <w:kern w:val="0"/>
          <w:sz w:val="30"/>
          <w:szCs w:val="30"/>
        </w:rPr>
      </w:pPr>
    </w:p>
    <w:p w14:paraId="10FEE6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3B860A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3419FF5">
      <w:pPr>
        <w:widowControl/>
        <w:spacing w:line="330" w:lineRule="atLeast"/>
        <w:ind w:firstLine="600" w:firstLineChars="200"/>
        <w:jc w:val="left"/>
        <w:rPr>
          <w:rFonts w:ascii="仿宋" w:hAnsi="仿宋" w:eastAsia="仿宋"/>
          <w:color w:val="FF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按照综合预算的原则，本部门所有收入和支出均纳入部门预算管理，无下级预算单位。收入包括：财政拨款收入641.6万元；支出包括：</w:t>
      </w:r>
      <w:r>
        <w:rPr>
          <w:rFonts w:hint="eastAsia" w:ascii="仿宋" w:hAnsi="仿宋" w:eastAsia="仿宋" w:cs="仿宋"/>
          <w:sz w:val="30"/>
          <w:szCs w:val="30"/>
        </w:rPr>
        <w:t>商品和服务支出641.6万元。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年预算数增加85.7万元，其中财政拨款收入比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年预算数增加85.7万元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9年预算数增加85.7万元，其中</w:t>
      </w:r>
      <w:r>
        <w:rPr>
          <w:rFonts w:hint="eastAsia" w:ascii="仿宋" w:hAnsi="仿宋" w:eastAsia="仿宋" w:cs="仿宋"/>
          <w:sz w:val="30"/>
          <w:szCs w:val="30"/>
        </w:rPr>
        <w:t>商品和服务支出增加85.7万元。</w:t>
      </w:r>
    </w:p>
    <w:p w14:paraId="68DFE01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01F35F0">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无“三公”经费，比去年减少8万元。主要</w:t>
      </w:r>
      <w:r>
        <w:rPr>
          <w:rFonts w:hint="eastAsia" w:ascii="仿宋" w:hAnsi="仿宋" w:eastAsia="仿宋" w:cs="仿宋"/>
          <w:color w:val="000000"/>
          <w:kern w:val="0"/>
          <w:sz w:val="30"/>
          <w:szCs w:val="30"/>
        </w:rPr>
        <w:t>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1843B6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7F46D9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机关运行经费包括定额公用经费44.6万元。</w:t>
      </w:r>
    </w:p>
    <w:p w14:paraId="5B6A2F9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四、政府采购情况说明</w:t>
      </w:r>
    </w:p>
    <w:p w14:paraId="4F9EFE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印刷费</w:t>
      </w:r>
      <w:r>
        <w:rPr>
          <w:rFonts w:ascii="仿宋" w:hAnsi="仿宋" w:eastAsia="仿宋" w:cs="仿宋"/>
          <w:color w:val="000000"/>
          <w:kern w:val="0"/>
          <w:sz w:val="30"/>
          <w:szCs w:val="30"/>
        </w:rPr>
        <w:t>70</w:t>
      </w:r>
      <w:r>
        <w:rPr>
          <w:rFonts w:hint="eastAsia" w:ascii="仿宋" w:hAnsi="仿宋" w:eastAsia="仿宋" w:cs="仿宋"/>
          <w:color w:val="000000"/>
          <w:kern w:val="0"/>
          <w:sz w:val="30"/>
          <w:szCs w:val="30"/>
        </w:rPr>
        <w:t>万元；使用10年以住宅电梯安全评估87.5万元；对公共场所电梯开展安全评估18万元；对涉氨制冷设备、液化石油气储罐及管线开展安全评估10万元；监督抽检190万元</w:t>
      </w:r>
      <w:r>
        <w:rPr>
          <w:rFonts w:ascii="仿宋" w:hAnsi="仿宋" w:eastAsia="仿宋" w:cs="仿宋"/>
          <w:color w:val="000000"/>
          <w:kern w:val="0"/>
          <w:sz w:val="30"/>
          <w:szCs w:val="30"/>
        </w:rPr>
        <w:t xml:space="preserve"> </w:t>
      </w:r>
    </w:p>
    <w:p w14:paraId="529893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E221E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C9A5D7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EAB67B7">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color w:val="000000"/>
          <w:kern w:val="0"/>
          <w:sz w:val="30"/>
          <w:szCs w:val="30"/>
        </w:rPr>
        <w:t>国有资产占有使用情况说明为：截至2019年12月31日，部门（单位）共有车辆1辆；单位价值50万元（含）以上通用设备0台（套）；单位价值100万元以上专用</w:t>
      </w:r>
      <w:r>
        <w:rPr>
          <w:rFonts w:hint="eastAsia" w:ascii="仿宋" w:hAnsi="仿宋" w:eastAsia="仿宋" w:cs="仿宋"/>
          <w:kern w:val="0"/>
          <w:sz w:val="30"/>
          <w:szCs w:val="30"/>
        </w:rPr>
        <w:t>设备0台（套）。</w:t>
      </w:r>
    </w:p>
    <w:p w14:paraId="50E1C0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F9F67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20年，按照“先有绩效，后有预算”原则，本部门共计编制绩效目标</w:t>
      </w: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个，预算金额</w:t>
      </w:r>
      <w:r>
        <w:rPr>
          <w:rFonts w:ascii="仿宋" w:hAnsi="仿宋" w:eastAsia="仿宋" w:cs="仿宋"/>
          <w:color w:val="000000"/>
          <w:kern w:val="0"/>
          <w:sz w:val="30"/>
          <w:szCs w:val="30"/>
        </w:rPr>
        <w:t>597</w:t>
      </w:r>
      <w:r>
        <w:rPr>
          <w:rFonts w:hint="eastAsia" w:ascii="仿宋" w:hAnsi="仿宋" w:eastAsia="仿宋" w:cs="仿宋"/>
          <w:color w:val="000000"/>
          <w:kern w:val="0"/>
          <w:sz w:val="30"/>
          <w:szCs w:val="30"/>
        </w:rPr>
        <w:t>万元，占项目支出预算比重</w:t>
      </w:r>
      <w:r>
        <w:rPr>
          <w:rFonts w:ascii="仿宋" w:hAnsi="仿宋" w:eastAsia="仿宋" w:cs="仿宋"/>
          <w:color w:val="000000"/>
          <w:kern w:val="0"/>
          <w:sz w:val="30"/>
          <w:szCs w:val="30"/>
        </w:rPr>
        <w:t>100%</w:t>
      </w:r>
      <w:r>
        <w:rPr>
          <w:rFonts w:hint="eastAsia" w:ascii="仿宋" w:hAnsi="仿宋" w:eastAsia="仿宋" w:cs="仿宋"/>
          <w:color w:val="000000"/>
          <w:kern w:val="0"/>
          <w:sz w:val="30"/>
          <w:szCs w:val="30"/>
        </w:rPr>
        <w:t>。</w:t>
      </w:r>
    </w:p>
    <w:p w14:paraId="2F2CB84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八、质量奖配套奖励项目情况</w:t>
      </w:r>
    </w:p>
    <w:p w14:paraId="19D3D74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716F5BFB">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2017年9月，中共中央、国务院制定了《关于开展质量提升行动的指导意见》（中发〔2017〕24号），明确提出了“建设质量强国取得明显成效，质量总体水平显著提升，质量对提高全要素生产率和促进经济发展的贡献进一步增强，更好满足人民群众不断升级的消费需求”，随后，辽宁省、大连市相继制定了本区域实施意见。2018年11月26日，中共大连高新区工作委员会、大连高新区管理委员会制定了《关于开展质量提升行动 推动质量强区建设的实施意见》（大高党工发〔2018〕48号），在完善质量激励机制中明确提出：“对获得中国质量奖和提名奖的单位分别配套奖励100万元、50万元；获得省长质量奖金奖和银奖的单位分别配套奖励50万元、30万元；获得市长质量奖和提名奖的单位分别配套奖励30万元、20万元”。</w:t>
      </w:r>
    </w:p>
    <w:p w14:paraId="40138FD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05EB33E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《中共大连高新区工作委员会 大连高新区管理委员会关于开展质量提升行动 推动质量强区建设的实施意见》（大高党工发〔2018〕48号），《国家、省、市质量奖配套奖励办法》（大高管办发〔2019〕33号）。</w:t>
      </w:r>
    </w:p>
    <w:p w14:paraId="6025DF2E">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6E4A50A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区市场监管局、区财政局。</w:t>
      </w:r>
    </w:p>
    <w:p w14:paraId="448F99B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6D8B7854">
      <w:pPr>
        <w:tabs>
          <w:tab w:val="left" w:pos="2552"/>
          <w:tab w:val="left" w:pos="2694"/>
          <w:tab w:val="left" w:pos="6379"/>
        </w:tabs>
        <w:snapToGrid w:val="0"/>
        <w:spacing w:line="600" w:lineRule="exact"/>
        <w:ind w:firstLine="606" w:firstLineChars="202"/>
        <w:contextualSpacing/>
        <w:rPr>
          <w:rFonts w:ascii="仿宋" w:hAnsi="仿宋" w:eastAsia="仿宋" w:cs="仿宋"/>
          <w:color w:val="000000"/>
          <w:kern w:val="0"/>
          <w:sz w:val="30"/>
          <w:szCs w:val="30"/>
        </w:rPr>
      </w:pPr>
      <w:r>
        <w:rPr>
          <w:rFonts w:hint="eastAsia" w:ascii="仿宋" w:hAnsi="仿宋" w:eastAsia="仿宋" w:cs="仿宋"/>
          <w:color w:val="000000"/>
          <w:kern w:val="0"/>
          <w:sz w:val="30"/>
          <w:szCs w:val="30"/>
        </w:rPr>
        <w:t>根据《大连高新区管理委员会办公室关于印发&lt;国家、省、市质量奖配套奖励办法&gt;的通知》（大高管办发〔2019〕33号）:</w:t>
      </w:r>
    </w:p>
    <w:p w14:paraId="26CA72F2">
      <w:pPr>
        <w:tabs>
          <w:tab w:val="left" w:pos="2552"/>
          <w:tab w:val="left" w:pos="2694"/>
          <w:tab w:val="left" w:pos="6379"/>
        </w:tabs>
        <w:snapToGrid w:val="0"/>
        <w:spacing w:line="600" w:lineRule="exact"/>
        <w:ind w:firstLine="606" w:firstLineChars="202"/>
        <w:contextualSpacing/>
        <w:rPr>
          <w:rFonts w:ascii="仿宋" w:hAnsi="仿宋" w:eastAsia="仿宋" w:cs="仿宋"/>
          <w:sz w:val="30"/>
          <w:szCs w:val="30"/>
        </w:rPr>
      </w:pPr>
      <w:r>
        <w:rPr>
          <w:rFonts w:hint="eastAsia" w:ascii="仿宋" w:hAnsi="仿宋" w:eastAsia="仿宋" w:cs="仿宋"/>
          <w:sz w:val="30"/>
          <w:szCs w:val="30"/>
        </w:rPr>
        <w:t>(1) 区市场监管局对申报材料进行审核，符合条件且材料齐全的予以受理；申报材料不符合要求的，应当一次性告知申请人需要补正的全部内容，限期10个工作日内予以补充完善，逾期未能补充完善的，不予受理。</w:t>
      </w:r>
    </w:p>
    <w:p w14:paraId="04FE02B5">
      <w:pPr>
        <w:tabs>
          <w:tab w:val="left" w:pos="2552"/>
          <w:tab w:val="left" w:pos="2694"/>
          <w:tab w:val="left" w:pos="6379"/>
        </w:tabs>
        <w:snapToGrid w:val="0"/>
        <w:spacing w:line="600" w:lineRule="exact"/>
        <w:ind w:firstLine="606" w:firstLineChars="202"/>
        <w:contextualSpacing/>
        <w:rPr>
          <w:rFonts w:ascii="仿宋" w:hAnsi="仿宋" w:eastAsia="仿宋" w:cs="仿宋"/>
          <w:sz w:val="30"/>
          <w:szCs w:val="30"/>
        </w:rPr>
      </w:pPr>
      <w:r>
        <w:rPr>
          <w:rFonts w:hint="eastAsia" w:ascii="仿宋" w:hAnsi="仿宋" w:eastAsia="仿宋" w:cs="仿宋"/>
          <w:sz w:val="30"/>
          <w:szCs w:val="30"/>
        </w:rPr>
        <w:t>(2)区市场监管局根据受理情况提出拟奖励名单，名单在区管委会网站上公示5个工作日。</w:t>
      </w:r>
    </w:p>
    <w:p w14:paraId="14485944">
      <w:pPr>
        <w:tabs>
          <w:tab w:val="left" w:pos="2552"/>
          <w:tab w:val="left" w:pos="2694"/>
          <w:tab w:val="left" w:pos="6379"/>
        </w:tabs>
        <w:snapToGrid w:val="0"/>
        <w:spacing w:line="600" w:lineRule="exact"/>
        <w:ind w:firstLine="606" w:firstLineChars="202"/>
        <w:contextualSpacing/>
        <w:rPr>
          <w:rFonts w:ascii="仿宋" w:hAnsi="仿宋" w:eastAsia="仿宋" w:cs="仿宋"/>
          <w:sz w:val="30"/>
          <w:szCs w:val="30"/>
        </w:rPr>
      </w:pPr>
      <w:r>
        <w:rPr>
          <w:rFonts w:hint="eastAsia" w:ascii="仿宋" w:hAnsi="仿宋" w:eastAsia="仿宋" w:cs="仿宋"/>
          <w:sz w:val="30"/>
          <w:szCs w:val="30"/>
        </w:rPr>
        <w:t>(3)区市场监管局将最终确定的奖励名单报区财政局，由区财政局负责支付。</w:t>
      </w:r>
    </w:p>
    <w:p w14:paraId="0DC7CFC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39986D39">
      <w:pPr>
        <w:ind w:firstLine="600" w:firstLineChars="200"/>
        <w:rPr>
          <w:rFonts w:ascii="仿宋" w:hAnsi="仿宋" w:eastAsia="仿宋" w:cs="仿宋"/>
          <w:color w:val="000000"/>
          <w:kern w:val="0"/>
          <w:sz w:val="30"/>
          <w:szCs w:val="30"/>
        </w:rPr>
      </w:pPr>
      <w:r>
        <w:rPr>
          <w:rFonts w:hint="eastAsia" w:ascii="仿宋" w:hAnsi="仿宋" w:eastAsia="仿宋" w:cs="仿宋"/>
          <w:sz w:val="30"/>
          <w:szCs w:val="30"/>
        </w:rPr>
        <w:t>自2019年1月1日起开始执行，有效期暂定5年。法律、法规和政策另有规定的，从其规定。</w:t>
      </w:r>
    </w:p>
    <w:p w14:paraId="3D3140F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2394AEFB">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50万元，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3010433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市长质量奖配套奖励子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30万元，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获得市长质量奖的配套奖励；</w:t>
      </w:r>
    </w:p>
    <w:p w14:paraId="73F17BD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市长质量奖提名奖配套奖励子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20万元，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获得市长质量奖提名奖的配套奖励。</w:t>
      </w:r>
    </w:p>
    <w:p w14:paraId="424B4F48">
      <w:pPr>
        <w:widowControl/>
        <w:spacing w:line="330" w:lineRule="atLeast"/>
        <w:ind w:firstLine="600" w:firstLineChars="200"/>
        <w:jc w:val="left"/>
        <w:rPr>
          <w:rFonts w:ascii="仿宋" w:hAnsi="仿宋" w:eastAsia="仿宋" w:cs="仿宋"/>
          <w:color w:val="FF0000"/>
          <w:kern w:val="0"/>
          <w:sz w:val="30"/>
          <w:szCs w:val="30"/>
        </w:rPr>
      </w:pPr>
    </w:p>
    <w:p w14:paraId="4EDA235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148B6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71057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AAD36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48550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566F0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3D3F9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B907A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7A4FB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B7CC7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BCEE4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47D49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6479A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D6918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D76D4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AF8F9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1354A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5703A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0C87EF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18B6638">
      <w:pPr>
        <w:widowControl/>
        <w:spacing w:line="330" w:lineRule="atLeast"/>
        <w:ind w:firstLine="600" w:firstLineChars="200"/>
        <w:jc w:val="left"/>
        <w:rPr>
          <w:rFonts w:ascii="仿宋" w:hAnsi="仿宋" w:eastAsia="仿宋"/>
          <w:color w:val="000000"/>
          <w:kern w:val="0"/>
          <w:sz w:val="30"/>
          <w:szCs w:val="30"/>
        </w:rPr>
      </w:pPr>
    </w:p>
    <w:p w14:paraId="2F954AC6">
      <w:pPr>
        <w:widowControl/>
        <w:spacing w:line="330" w:lineRule="atLeast"/>
        <w:ind w:firstLine="600" w:firstLineChars="200"/>
        <w:jc w:val="left"/>
        <w:rPr>
          <w:rFonts w:ascii="仿宋" w:hAnsi="仿宋" w:eastAsia="仿宋"/>
          <w:color w:val="000000"/>
          <w:sz w:val="30"/>
          <w:szCs w:val="30"/>
        </w:rPr>
      </w:pPr>
    </w:p>
    <w:p w14:paraId="27BB22E4">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p w14:paraId="1961EE3E">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00E4"/>
    <w:rsid w:val="0003473E"/>
    <w:rsid w:val="000C4FD1"/>
    <w:rsid w:val="000E59A1"/>
    <w:rsid w:val="000F7DDC"/>
    <w:rsid w:val="00103D89"/>
    <w:rsid w:val="0010550E"/>
    <w:rsid w:val="00140875"/>
    <w:rsid w:val="0014146F"/>
    <w:rsid w:val="00164A2E"/>
    <w:rsid w:val="00173A91"/>
    <w:rsid w:val="00184705"/>
    <w:rsid w:val="00187190"/>
    <w:rsid w:val="001961A4"/>
    <w:rsid w:val="001E3E93"/>
    <w:rsid w:val="00227582"/>
    <w:rsid w:val="002577F0"/>
    <w:rsid w:val="00261359"/>
    <w:rsid w:val="00262579"/>
    <w:rsid w:val="00264775"/>
    <w:rsid w:val="002C769F"/>
    <w:rsid w:val="002C7982"/>
    <w:rsid w:val="002D132F"/>
    <w:rsid w:val="00317CFE"/>
    <w:rsid w:val="00323ED4"/>
    <w:rsid w:val="00360F84"/>
    <w:rsid w:val="00382366"/>
    <w:rsid w:val="003929DB"/>
    <w:rsid w:val="00393F73"/>
    <w:rsid w:val="003B5FFC"/>
    <w:rsid w:val="003B601C"/>
    <w:rsid w:val="004221E9"/>
    <w:rsid w:val="004224B5"/>
    <w:rsid w:val="00425854"/>
    <w:rsid w:val="00425FAA"/>
    <w:rsid w:val="00431BF7"/>
    <w:rsid w:val="00444D79"/>
    <w:rsid w:val="00467159"/>
    <w:rsid w:val="00580E27"/>
    <w:rsid w:val="005A04CC"/>
    <w:rsid w:val="005C432B"/>
    <w:rsid w:val="005C6DCF"/>
    <w:rsid w:val="00600B23"/>
    <w:rsid w:val="0061558B"/>
    <w:rsid w:val="00653E9F"/>
    <w:rsid w:val="00662A9D"/>
    <w:rsid w:val="0068084F"/>
    <w:rsid w:val="0068350D"/>
    <w:rsid w:val="00687DAD"/>
    <w:rsid w:val="006A7B36"/>
    <w:rsid w:val="006F39F8"/>
    <w:rsid w:val="006F44CC"/>
    <w:rsid w:val="006F4EFF"/>
    <w:rsid w:val="00755C7B"/>
    <w:rsid w:val="007805EB"/>
    <w:rsid w:val="007806C1"/>
    <w:rsid w:val="00781DE1"/>
    <w:rsid w:val="00793DA4"/>
    <w:rsid w:val="00794A61"/>
    <w:rsid w:val="007A31B0"/>
    <w:rsid w:val="007B3DF9"/>
    <w:rsid w:val="007E3D0B"/>
    <w:rsid w:val="00810AED"/>
    <w:rsid w:val="008146C3"/>
    <w:rsid w:val="008620BC"/>
    <w:rsid w:val="0087358C"/>
    <w:rsid w:val="0088158A"/>
    <w:rsid w:val="00882BCF"/>
    <w:rsid w:val="008B01B8"/>
    <w:rsid w:val="008B538A"/>
    <w:rsid w:val="00902047"/>
    <w:rsid w:val="00941B10"/>
    <w:rsid w:val="00961681"/>
    <w:rsid w:val="0096770E"/>
    <w:rsid w:val="009C1339"/>
    <w:rsid w:val="009F1015"/>
    <w:rsid w:val="009F4968"/>
    <w:rsid w:val="00A12672"/>
    <w:rsid w:val="00A15801"/>
    <w:rsid w:val="00A5549A"/>
    <w:rsid w:val="00A576B1"/>
    <w:rsid w:val="00A700BD"/>
    <w:rsid w:val="00A81AA4"/>
    <w:rsid w:val="00AB60E8"/>
    <w:rsid w:val="00AB6633"/>
    <w:rsid w:val="00AC494C"/>
    <w:rsid w:val="00AE39DF"/>
    <w:rsid w:val="00B34C42"/>
    <w:rsid w:val="00B770AD"/>
    <w:rsid w:val="00B83547"/>
    <w:rsid w:val="00B94923"/>
    <w:rsid w:val="00BB26D2"/>
    <w:rsid w:val="00C67479"/>
    <w:rsid w:val="00C85325"/>
    <w:rsid w:val="00C9336A"/>
    <w:rsid w:val="00CC7FC2"/>
    <w:rsid w:val="00CD7747"/>
    <w:rsid w:val="00D079BA"/>
    <w:rsid w:val="00D176CA"/>
    <w:rsid w:val="00D91B37"/>
    <w:rsid w:val="00DA299D"/>
    <w:rsid w:val="00DC1136"/>
    <w:rsid w:val="00DD605A"/>
    <w:rsid w:val="00E560A1"/>
    <w:rsid w:val="00EA1694"/>
    <w:rsid w:val="00EA30D5"/>
    <w:rsid w:val="00EA5853"/>
    <w:rsid w:val="00EB3F44"/>
    <w:rsid w:val="00EB6E55"/>
    <w:rsid w:val="00EC44A1"/>
    <w:rsid w:val="00EE134B"/>
    <w:rsid w:val="00F01060"/>
    <w:rsid w:val="00F30F4A"/>
    <w:rsid w:val="00F422B1"/>
    <w:rsid w:val="00F44104"/>
    <w:rsid w:val="00F65548"/>
    <w:rsid w:val="00F713C4"/>
    <w:rsid w:val="00FB1BEC"/>
    <w:rsid w:val="00FD7251"/>
    <w:rsid w:val="78A25E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CBB3F-4F8E-4793-AB21-DD77EC897C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4281</Words>
  <Characters>4430</Characters>
  <Lines>32</Lines>
  <Paragraphs>9</Paragraphs>
  <TotalTime>107</TotalTime>
  <ScaleCrop>false</ScaleCrop>
  <LinksUpToDate>false</LinksUpToDate>
  <CharactersWithSpaces>4477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2025-12-19T07:18:37Z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CB71D951587B4BBF822C23F08B7BD3F7_12</vt:lpwstr>
  </property>
</Properties>
</file>