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B10A51">
      <w:pPr>
        <w:spacing w:line="600" w:lineRule="exact"/>
        <w:rPr>
          <w:rFonts w:ascii="仿宋_GB2312" w:eastAsia="仿宋_GB2312"/>
          <w:sz w:val="36"/>
          <w:szCs w:val="36"/>
        </w:rPr>
      </w:pPr>
      <w:bookmarkStart w:id="0" w:name="_GoBack"/>
      <w:bookmarkEnd w:id="0"/>
    </w:p>
    <w:p w14:paraId="2B7B68AE">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高新区规划建设局</w:t>
      </w:r>
      <w:r>
        <w:rPr>
          <w:rFonts w:ascii="仿宋" w:hAnsi="仿宋" w:eastAsia="仿宋" w:cs="仿宋"/>
          <w:b/>
          <w:bCs/>
          <w:color w:val="000000"/>
          <w:kern w:val="0"/>
          <w:sz w:val="36"/>
          <w:szCs w:val="36"/>
        </w:rPr>
        <w:t>2020</w:t>
      </w:r>
      <w:r>
        <w:rPr>
          <w:rFonts w:hint="eastAsia" w:ascii="仿宋" w:hAnsi="仿宋" w:eastAsia="仿宋" w:cs="仿宋"/>
          <w:b/>
          <w:bCs/>
          <w:color w:val="000000"/>
          <w:kern w:val="0"/>
          <w:sz w:val="36"/>
          <w:szCs w:val="36"/>
        </w:rPr>
        <w:t>年部门预算</w:t>
      </w:r>
    </w:p>
    <w:p w14:paraId="5DA038CC">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4E1E4FF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0A26682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5C94862B">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、贯彻和落实国家、省、市有关城乡规划和工程建设等政策和法律、法规，拟定园区具体方案并组织实施；</w:t>
      </w:r>
    </w:p>
    <w:p w14:paraId="4C85E069">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、负责组织园区总体规划、控制性详细规划的编制、报批、调整和管理；</w:t>
      </w:r>
    </w:p>
    <w:p w14:paraId="313B4634">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、负责基本建设项目选址、规划、单体设计方案审查，组织建筑、规划方案的专家评审；负责建设工程扩初设计审查；负责施工图设计文件的审查备案；负责组织规划核实；</w:t>
      </w:r>
    </w:p>
    <w:p w14:paraId="7482C24C">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、组织编报园区建设中长期规划、年度城市基础设施计划、工程大配套计划并指导实施；组织协调园区重点工程项目和大中型项目的建设；</w:t>
      </w:r>
    </w:p>
    <w:p w14:paraId="2F20B786">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、组织协调供水、供电、交通、供热、供气、通信、防洪等市政专业规划的编制、审查，并组织实施和管理；负责抗震防灾规划的编制和督促检查抗震防灾工程的实施及管理；</w:t>
      </w:r>
    </w:p>
    <w:p w14:paraId="0D727701">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、负责雕塑、观赏性建筑小品设计、环境设计、建筑立面改造的审批；组织历史文化建筑和近代保护建筑的审查报批；</w:t>
      </w:r>
    </w:p>
    <w:p w14:paraId="07F4273D">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、负责《建设用地规划许可证》、《建设工程规划许可证》、《建筑工程施工许可证》的核发；</w:t>
      </w:r>
    </w:p>
    <w:p w14:paraId="05B293D4">
      <w:pPr>
        <w:spacing w:line="330" w:lineRule="atLeas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、负责园区建筑业、供热及燃气的行业管理；</w:t>
      </w:r>
    </w:p>
    <w:p w14:paraId="3E1B96C0">
      <w:pPr>
        <w:spacing w:line="330" w:lineRule="atLeast"/>
        <w:ind w:firstLine="600" w:firstLineChars="200"/>
        <w:rPr>
          <w:rFonts w:ascii="仿宋" w:hAnsi="仿宋" w:eastAsia="仿宋"/>
          <w:sz w:val="30"/>
          <w:szCs w:val="30"/>
        </w:rPr>
      </w:pPr>
      <w:r>
        <w:rPr>
          <w:rFonts w:ascii="仿宋" w:hAnsi="仿宋" w:eastAsia="仿宋"/>
          <w:sz w:val="30"/>
          <w:szCs w:val="30"/>
        </w:rPr>
        <w:t>9</w:t>
      </w:r>
      <w:r>
        <w:rPr>
          <w:rFonts w:hint="eastAsia" w:ascii="仿宋" w:hAnsi="仿宋" w:eastAsia="仿宋"/>
          <w:sz w:val="30"/>
          <w:szCs w:val="30"/>
        </w:rPr>
        <w:t>、负责园区房屋建筑和市政基础设施项目招标投标活动的备案及监督管理；负责建设工程造价管理；</w:t>
      </w:r>
    </w:p>
    <w:p w14:paraId="1BD35FD3">
      <w:pPr>
        <w:spacing w:line="330" w:lineRule="atLeast"/>
        <w:ind w:firstLine="600" w:firstLineChars="200"/>
        <w:rPr>
          <w:rFonts w:ascii="仿宋" w:hAnsi="仿宋" w:eastAsia="仿宋"/>
          <w:sz w:val="30"/>
          <w:szCs w:val="30"/>
        </w:rPr>
      </w:pPr>
      <w:r>
        <w:rPr>
          <w:rFonts w:ascii="仿宋" w:hAnsi="仿宋" w:eastAsia="仿宋"/>
          <w:sz w:val="30"/>
          <w:szCs w:val="30"/>
        </w:rPr>
        <w:t>10</w:t>
      </w:r>
      <w:r>
        <w:rPr>
          <w:rFonts w:hint="eastAsia" w:ascii="仿宋" w:hAnsi="仿宋" w:eastAsia="仿宋"/>
          <w:sz w:val="30"/>
          <w:szCs w:val="30"/>
        </w:rPr>
        <w:t>、负责园区墙改与节能工作；</w:t>
      </w:r>
    </w:p>
    <w:p w14:paraId="6A7FB9FF">
      <w:pPr>
        <w:spacing w:line="330" w:lineRule="atLeast"/>
        <w:ind w:firstLine="600" w:firstLineChars="200"/>
        <w:rPr>
          <w:rFonts w:ascii="仿宋" w:hAnsi="仿宋" w:eastAsia="仿宋"/>
          <w:sz w:val="30"/>
          <w:szCs w:val="30"/>
        </w:rPr>
      </w:pPr>
      <w:r>
        <w:rPr>
          <w:rFonts w:ascii="仿宋" w:hAnsi="仿宋" w:eastAsia="仿宋"/>
          <w:sz w:val="30"/>
          <w:szCs w:val="30"/>
        </w:rPr>
        <w:t>11</w:t>
      </w:r>
      <w:r>
        <w:rPr>
          <w:rFonts w:hint="eastAsia" w:ascii="仿宋" w:hAnsi="仿宋" w:eastAsia="仿宋"/>
          <w:sz w:val="30"/>
          <w:szCs w:val="30"/>
        </w:rPr>
        <w:t>、负责建设项目工程档案的收集、整理、鉴定、保管和开发利用；负责建设系统岗位培训和继续教育；</w:t>
      </w:r>
    </w:p>
    <w:p w14:paraId="207872B7">
      <w:pPr>
        <w:spacing w:line="330" w:lineRule="atLeast"/>
        <w:ind w:firstLine="600" w:firstLineChars="200"/>
        <w:rPr>
          <w:rFonts w:ascii="仿宋" w:hAnsi="仿宋" w:eastAsia="仿宋"/>
          <w:sz w:val="30"/>
          <w:szCs w:val="30"/>
        </w:rPr>
      </w:pPr>
      <w:r>
        <w:rPr>
          <w:rFonts w:ascii="仿宋" w:hAnsi="仿宋" w:eastAsia="仿宋"/>
          <w:sz w:val="30"/>
          <w:szCs w:val="30"/>
        </w:rPr>
        <w:t>12</w:t>
      </w:r>
      <w:r>
        <w:rPr>
          <w:rFonts w:hint="eastAsia" w:ascii="仿宋" w:hAnsi="仿宋" w:eastAsia="仿宋"/>
          <w:sz w:val="30"/>
          <w:szCs w:val="30"/>
        </w:rPr>
        <w:t>、负责清理建设领域拖欠工程款，协助清理建设领域拖欠农民工工资；</w:t>
      </w:r>
    </w:p>
    <w:p w14:paraId="42C9A53C">
      <w:pPr>
        <w:spacing w:line="330" w:lineRule="atLeast"/>
        <w:ind w:firstLine="600" w:firstLineChars="200"/>
        <w:rPr>
          <w:rFonts w:ascii="仿宋" w:hAnsi="仿宋" w:eastAsia="仿宋"/>
          <w:sz w:val="30"/>
          <w:szCs w:val="30"/>
        </w:rPr>
      </w:pPr>
      <w:r>
        <w:rPr>
          <w:rFonts w:ascii="仿宋" w:hAnsi="仿宋" w:eastAsia="仿宋"/>
          <w:sz w:val="30"/>
          <w:szCs w:val="30"/>
        </w:rPr>
        <w:t>13</w:t>
      </w:r>
      <w:r>
        <w:rPr>
          <w:rFonts w:hint="eastAsia" w:ascii="仿宋" w:hAnsi="仿宋" w:eastAsia="仿宋"/>
          <w:sz w:val="30"/>
          <w:szCs w:val="30"/>
        </w:rPr>
        <w:t>、负责领导园区总工程师办公室、建设工程质量监督管理站、建设工程安全监督管理站工作。</w:t>
      </w:r>
    </w:p>
    <w:p w14:paraId="0BB9F5A5">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0656E08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年规划建设局部门预算为本部综合收支计划，无二级单位。</w:t>
      </w:r>
    </w:p>
    <w:p w14:paraId="34A3E806">
      <w:pPr>
        <w:widowControl/>
        <w:spacing w:line="330" w:lineRule="atLeast"/>
        <w:ind w:firstLine="600" w:firstLineChars="200"/>
        <w:jc w:val="left"/>
        <w:rPr>
          <w:rFonts w:ascii="仿宋" w:hAnsi="仿宋" w:eastAsia="仿宋" w:cs="仿宋"/>
          <w:color w:val="000000"/>
          <w:kern w:val="0"/>
          <w:sz w:val="30"/>
          <w:szCs w:val="30"/>
        </w:rPr>
      </w:pPr>
    </w:p>
    <w:p w14:paraId="731DCFA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2CF1D378">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0AEFA183">
      <w:pPr>
        <w:widowControl/>
        <w:spacing w:line="330" w:lineRule="atLeast"/>
        <w:ind w:firstLine="600" w:firstLineChars="200"/>
        <w:jc w:val="left"/>
        <w:rPr>
          <w:rFonts w:ascii="仿宋" w:hAnsi="仿宋" w:eastAsia="仿宋"/>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w:t>
      </w:r>
      <w:r>
        <w:rPr>
          <w:rFonts w:hint="eastAsia" w:ascii="仿宋" w:hAnsi="仿宋" w:eastAsia="仿宋"/>
          <w:sz w:val="30"/>
          <w:szCs w:val="30"/>
        </w:rPr>
        <w:t>包括：财政拨款收入2067.8万元；支出包括：商品和服务支出2067.8万元。全部为一般公共预算收支，无政府性基金预算收支。</w:t>
      </w:r>
      <w:r>
        <w:rPr>
          <w:rFonts w:hint="eastAsia" w:ascii="仿宋" w:hAnsi="仿宋" w:eastAsia="仿宋" w:cs="仿宋"/>
          <w:color w:val="000000"/>
          <w:kern w:val="0"/>
          <w:sz w:val="30"/>
          <w:szCs w:val="30"/>
        </w:rPr>
        <w:t>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年预算数增加249.4万元，其中财政拨款收入比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年预算数增加249.4万元</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支出</w:t>
      </w:r>
      <w:r>
        <w:rPr>
          <w:rFonts w:hint="eastAsia" w:ascii="仿宋" w:hAnsi="仿宋" w:eastAsia="仿宋"/>
          <w:sz w:val="30"/>
          <w:szCs w:val="30"/>
        </w:rPr>
        <w:t>比</w:t>
      </w:r>
      <w:r>
        <w:rPr>
          <w:rFonts w:ascii="仿宋" w:hAnsi="仿宋" w:eastAsia="仿宋"/>
          <w:sz w:val="30"/>
          <w:szCs w:val="30"/>
        </w:rPr>
        <w:t>2019</w:t>
      </w:r>
      <w:r>
        <w:rPr>
          <w:rFonts w:hint="eastAsia" w:ascii="仿宋" w:hAnsi="仿宋" w:eastAsia="仿宋"/>
          <w:sz w:val="30"/>
          <w:szCs w:val="30"/>
        </w:rPr>
        <w:t>年预算数增加</w:t>
      </w:r>
      <w:r>
        <w:rPr>
          <w:rFonts w:ascii="仿宋" w:hAnsi="仿宋" w:eastAsia="仿宋"/>
          <w:sz w:val="30"/>
          <w:szCs w:val="30"/>
        </w:rPr>
        <w:t>249.4</w:t>
      </w:r>
      <w:r>
        <w:rPr>
          <w:rFonts w:hint="eastAsia" w:ascii="仿宋" w:hAnsi="仿宋" w:eastAsia="仿宋"/>
          <w:sz w:val="30"/>
          <w:szCs w:val="30"/>
        </w:rPr>
        <w:t>万元，其中商品和服务支出增加</w:t>
      </w:r>
      <w:r>
        <w:rPr>
          <w:rFonts w:ascii="仿宋" w:hAnsi="仿宋" w:eastAsia="仿宋"/>
          <w:sz w:val="30"/>
          <w:szCs w:val="30"/>
        </w:rPr>
        <w:t>249.4</w:t>
      </w:r>
      <w:r>
        <w:rPr>
          <w:rFonts w:hint="eastAsia" w:ascii="仿宋" w:hAnsi="仿宋" w:eastAsia="仿宋"/>
          <w:sz w:val="30"/>
          <w:szCs w:val="30"/>
        </w:rPr>
        <w:t>万。</w:t>
      </w:r>
    </w:p>
    <w:p w14:paraId="7CEEE79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4DC269BC">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事项，与去年相同</w:t>
      </w:r>
      <w:r>
        <w:rPr>
          <w:rFonts w:hint="eastAsia" w:ascii="仿宋" w:hAnsi="仿宋" w:eastAsia="仿宋" w:cs="仿宋"/>
          <w:sz w:val="30"/>
          <w:szCs w:val="30"/>
        </w:rPr>
        <w:t>。</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5E257B1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080ED08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6.3</w:t>
      </w:r>
      <w:r>
        <w:rPr>
          <w:rFonts w:hint="eastAsia" w:ascii="仿宋" w:hAnsi="仿宋" w:eastAsia="仿宋" w:cs="仿宋"/>
          <w:color w:val="000000"/>
          <w:kern w:val="0"/>
          <w:sz w:val="30"/>
          <w:szCs w:val="30"/>
        </w:rPr>
        <w:t>万元。</w:t>
      </w:r>
    </w:p>
    <w:p w14:paraId="55E03CC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74BD7ED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23D5FB5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54421982">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7F64EA4E">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7931941C">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国有资产占有使用情况说明为：截至2019年12月31日，部门（单位）共有车辆1辆；单位价值50万元（含）以上通用设备0台（套）；单位价值100万元以上专用设备0台（套）。</w:t>
      </w:r>
    </w:p>
    <w:p w14:paraId="1287A50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63D6FA10">
      <w:pPr>
        <w:ind w:firstLine="600" w:firstLineChars="200"/>
        <w:rPr>
          <w:rFonts w:ascii="仿宋" w:hAnsi="仿宋" w:eastAsia="仿宋" w:cs="仿宋"/>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20年，按照“先有绩效，后有预算”原则，本部门共计编制绩效目标</w:t>
      </w:r>
      <w:r>
        <w:rPr>
          <w:rFonts w:ascii="仿宋" w:hAnsi="仿宋" w:eastAsia="仿宋" w:cs="Verdana"/>
          <w:color w:val="000000"/>
          <w:kern w:val="0"/>
          <w:sz w:val="30"/>
          <w:szCs w:val="30"/>
        </w:rPr>
        <w:t>11</w:t>
      </w:r>
      <w:r>
        <w:rPr>
          <w:rFonts w:hint="eastAsia" w:ascii="仿宋" w:hAnsi="仿宋" w:eastAsia="仿宋" w:cs="Verdana"/>
          <w:color w:val="000000"/>
          <w:kern w:val="0"/>
          <w:sz w:val="30"/>
          <w:szCs w:val="30"/>
        </w:rPr>
        <w:t>个，预算金额</w:t>
      </w:r>
      <w:r>
        <w:rPr>
          <w:rFonts w:ascii="仿宋" w:hAnsi="仿宋" w:eastAsia="仿宋" w:cs="Verdana"/>
          <w:color w:val="000000"/>
          <w:kern w:val="0"/>
          <w:sz w:val="30"/>
          <w:szCs w:val="30"/>
        </w:rPr>
        <w:t>2061.5</w:t>
      </w:r>
      <w:r>
        <w:rPr>
          <w:rFonts w:hint="eastAsia" w:ascii="仿宋" w:hAnsi="仿宋" w:eastAsia="仿宋" w:cs="Verdana"/>
          <w:color w:val="000000"/>
          <w:kern w:val="0"/>
          <w:sz w:val="30"/>
          <w:szCs w:val="30"/>
        </w:rPr>
        <w:t>万元，占项目支出预算比重</w:t>
      </w:r>
      <w:r>
        <w:rPr>
          <w:rFonts w:ascii="仿宋" w:hAnsi="仿宋" w:eastAsia="仿宋" w:cs="Verdana"/>
          <w:color w:val="000000"/>
          <w:kern w:val="0"/>
          <w:sz w:val="30"/>
          <w:szCs w:val="30"/>
        </w:rPr>
        <w:t>100%</w:t>
      </w:r>
      <w:r>
        <w:rPr>
          <w:rFonts w:hint="eastAsia" w:ascii="仿宋" w:hAnsi="仿宋" w:eastAsia="仿宋" w:cs="Verdana"/>
          <w:color w:val="000000"/>
          <w:kern w:val="0"/>
          <w:sz w:val="30"/>
          <w:szCs w:val="30"/>
        </w:rPr>
        <w:t>。</w:t>
      </w:r>
    </w:p>
    <w:p w14:paraId="3DC9A339">
      <w:pPr>
        <w:ind w:firstLine="450" w:firstLineChars="150"/>
        <w:rPr>
          <w:rFonts w:ascii="仿宋" w:hAnsi="仿宋" w:eastAsia="仿宋"/>
          <w:sz w:val="30"/>
          <w:szCs w:val="30"/>
        </w:rPr>
      </w:pPr>
      <w:r>
        <w:rPr>
          <w:rFonts w:hint="eastAsia" w:ascii="仿宋" w:hAnsi="仿宋" w:eastAsia="仿宋"/>
          <w:sz w:val="30"/>
          <w:szCs w:val="30"/>
        </w:rPr>
        <w:t>八、应急专家费情况说明</w:t>
      </w:r>
    </w:p>
    <w:p w14:paraId="06DEFA56">
      <w:pPr>
        <w:pStyle w:val="8"/>
        <w:numPr>
          <w:ilvl w:val="0"/>
          <w:numId w:val="1"/>
        </w:numPr>
        <w:ind w:firstLineChars="0"/>
        <w:rPr>
          <w:rFonts w:ascii="仿宋" w:hAnsi="仿宋" w:eastAsia="仿宋"/>
          <w:sz w:val="30"/>
          <w:szCs w:val="30"/>
        </w:rPr>
      </w:pPr>
      <w:r>
        <w:rPr>
          <w:rFonts w:hint="eastAsia" w:ascii="仿宋" w:hAnsi="仿宋" w:eastAsia="仿宋"/>
          <w:sz w:val="30"/>
          <w:szCs w:val="30"/>
        </w:rPr>
        <w:t>项目介绍</w:t>
      </w:r>
    </w:p>
    <w:p w14:paraId="0A5EB8BF">
      <w:pPr>
        <w:pStyle w:val="8"/>
        <w:ind w:left="0" w:firstLine="600"/>
        <w:rPr>
          <w:rFonts w:ascii="仿宋" w:hAnsi="仿宋" w:eastAsia="仿宋"/>
          <w:sz w:val="30"/>
          <w:szCs w:val="30"/>
        </w:rPr>
      </w:pPr>
      <w:r>
        <w:rPr>
          <w:rFonts w:hint="eastAsia" w:ascii="仿宋" w:hAnsi="仿宋" w:eastAsia="仿宋"/>
          <w:sz w:val="30"/>
          <w:szCs w:val="30"/>
        </w:rPr>
        <w:t>该项费用是指如果我区发生燃气爆炸等各种安全事故时，根据实际情况用于应急的专家费用。</w:t>
      </w:r>
    </w:p>
    <w:p w14:paraId="6610E463">
      <w:pPr>
        <w:pStyle w:val="8"/>
        <w:numPr>
          <w:ilvl w:val="0"/>
          <w:numId w:val="1"/>
        </w:numPr>
        <w:ind w:firstLineChars="0"/>
        <w:rPr>
          <w:rFonts w:ascii="仿宋" w:hAnsi="仿宋" w:eastAsia="仿宋"/>
          <w:sz w:val="30"/>
          <w:szCs w:val="30"/>
        </w:rPr>
      </w:pPr>
      <w:r>
        <w:rPr>
          <w:rFonts w:hint="eastAsia" w:ascii="仿宋" w:hAnsi="仿宋" w:eastAsia="仿宋"/>
          <w:sz w:val="30"/>
          <w:szCs w:val="30"/>
        </w:rPr>
        <w:t>立项依据</w:t>
      </w:r>
    </w:p>
    <w:p w14:paraId="5164C4A8">
      <w:pPr>
        <w:pStyle w:val="8"/>
        <w:ind w:left="0" w:firstLine="798" w:firstLineChars="266"/>
        <w:rPr>
          <w:rFonts w:ascii="仿宋" w:hAnsi="仿宋" w:eastAsia="仿宋"/>
          <w:sz w:val="30"/>
          <w:szCs w:val="30"/>
        </w:rPr>
      </w:pPr>
      <w:r>
        <w:rPr>
          <w:rFonts w:ascii="仿宋" w:hAnsi="仿宋" w:eastAsia="仿宋"/>
          <w:sz w:val="30"/>
          <w:szCs w:val="30"/>
        </w:rPr>
        <w:t>《生产安全事故报告和调查处理条例》</w:t>
      </w:r>
      <w:r>
        <w:rPr>
          <w:rFonts w:hint="eastAsia" w:ascii="仿宋" w:hAnsi="仿宋" w:eastAsia="仿宋"/>
          <w:sz w:val="30"/>
          <w:szCs w:val="30"/>
        </w:rPr>
        <w:t>和管委会相关批示。</w:t>
      </w:r>
    </w:p>
    <w:p w14:paraId="26EE2FFB">
      <w:pPr>
        <w:pStyle w:val="8"/>
        <w:numPr>
          <w:ilvl w:val="0"/>
          <w:numId w:val="1"/>
        </w:numPr>
        <w:ind w:firstLineChars="0"/>
        <w:rPr>
          <w:rFonts w:ascii="仿宋" w:hAnsi="仿宋" w:eastAsia="仿宋"/>
          <w:sz w:val="30"/>
          <w:szCs w:val="30"/>
        </w:rPr>
      </w:pPr>
      <w:r>
        <w:rPr>
          <w:rFonts w:hint="eastAsia" w:ascii="仿宋" w:hAnsi="仿宋" w:eastAsia="仿宋"/>
          <w:sz w:val="30"/>
          <w:szCs w:val="30"/>
        </w:rPr>
        <w:t xml:space="preserve"> 实施主体</w:t>
      </w:r>
    </w:p>
    <w:p w14:paraId="16939E92">
      <w:pPr>
        <w:pStyle w:val="8"/>
        <w:ind w:left="853" w:firstLine="0" w:firstLineChars="0"/>
        <w:rPr>
          <w:rFonts w:ascii="仿宋" w:hAnsi="仿宋" w:eastAsia="仿宋"/>
          <w:sz w:val="30"/>
          <w:szCs w:val="30"/>
        </w:rPr>
      </w:pPr>
      <w:r>
        <w:rPr>
          <w:rFonts w:hint="eastAsia" w:ascii="仿宋" w:hAnsi="仿宋" w:eastAsia="仿宋"/>
          <w:sz w:val="30"/>
          <w:szCs w:val="30"/>
        </w:rPr>
        <w:t>区规建局</w:t>
      </w:r>
    </w:p>
    <w:p w14:paraId="031AAFD4">
      <w:pPr>
        <w:pStyle w:val="8"/>
        <w:numPr>
          <w:ilvl w:val="0"/>
          <w:numId w:val="1"/>
        </w:numPr>
        <w:ind w:firstLineChars="0"/>
        <w:rPr>
          <w:rFonts w:ascii="仿宋" w:hAnsi="仿宋" w:eastAsia="仿宋"/>
          <w:sz w:val="30"/>
          <w:szCs w:val="30"/>
        </w:rPr>
      </w:pPr>
      <w:r>
        <w:rPr>
          <w:rFonts w:hint="eastAsia" w:ascii="仿宋" w:hAnsi="仿宋" w:eastAsia="仿宋"/>
          <w:sz w:val="30"/>
          <w:szCs w:val="30"/>
        </w:rPr>
        <w:t>实施方案</w:t>
      </w:r>
    </w:p>
    <w:p w14:paraId="5B87F791">
      <w:pPr>
        <w:pStyle w:val="8"/>
        <w:ind w:left="0" w:firstLine="798" w:firstLineChars="266"/>
        <w:rPr>
          <w:rFonts w:ascii="仿宋" w:hAnsi="仿宋" w:eastAsia="仿宋"/>
          <w:sz w:val="30"/>
          <w:szCs w:val="30"/>
        </w:rPr>
      </w:pPr>
      <w:r>
        <w:rPr>
          <w:rFonts w:hint="eastAsia" w:ascii="仿宋" w:hAnsi="仿宋" w:eastAsia="仿宋"/>
          <w:sz w:val="30"/>
          <w:szCs w:val="30"/>
        </w:rPr>
        <w:t>邀请行业专家进行现场应急情况处理。根据实际有误事故，事故情况和应急需要具体实施。</w:t>
      </w:r>
    </w:p>
    <w:p w14:paraId="0BAB1735">
      <w:pPr>
        <w:pStyle w:val="8"/>
        <w:numPr>
          <w:ilvl w:val="0"/>
          <w:numId w:val="1"/>
        </w:numPr>
        <w:ind w:firstLineChars="0"/>
        <w:rPr>
          <w:rFonts w:ascii="仿宋" w:hAnsi="仿宋" w:eastAsia="仿宋"/>
          <w:sz w:val="30"/>
          <w:szCs w:val="30"/>
        </w:rPr>
      </w:pPr>
      <w:r>
        <w:rPr>
          <w:rFonts w:hint="eastAsia" w:ascii="仿宋" w:hAnsi="仿宋" w:eastAsia="仿宋"/>
          <w:sz w:val="30"/>
          <w:szCs w:val="30"/>
        </w:rPr>
        <w:t>实施周期</w:t>
      </w:r>
    </w:p>
    <w:p w14:paraId="3A5A7B09">
      <w:pPr>
        <w:pStyle w:val="8"/>
        <w:ind w:left="853" w:firstLine="0" w:firstLineChars="0"/>
        <w:rPr>
          <w:rFonts w:ascii="仿宋" w:hAnsi="仿宋" w:eastAsia="仿宋"/>
          <w:sz w:val="30"/>
          <w:szCs w:val="30"/>
        </w:rPr>
      </w:pPr>
      <w:r>
        <w:rPr>
          <w:rFonts w:hint="eastAsia" w:ascii="仿宋" w:hAnsi="仿宋" w:eastAsia="仿宋"/>
          <w:sz w:val="30"/>
          <w:szCs w:val="30"/>
        </w:rPr>
        <w:t>2020年度。</w:t>
      </w:r>
    </w:p>
    <w:p w14:paraId="33B14889">
      <w:pPr>
        <w:pStyle w:val="8"/>
        <w:numPr>
          <w:ilvl w:val="0"/>
          <w:numId w:val="1"/>
        </w:numPr>
        <w:ind w:firstLineChars="0"/>
        <w:rPr>
          <w:rFonts w:ascii="仿宋" w:hAnsi="仿宋" w:eastAsia="仿宋"/>
          <w:sz w:val="30"/>
          <w:szCs w:val="30"/>
        </w:rPr>
      </w:pPr>
      <w:r>
        <w:rPr>
          <w:rFonts w:hint="eastAsia" w:ascii="仿宋" w:hAnsi="仿宋" w:eastAsia="仿宋"/>
          <w:sz w:val="30"/>
          <w:szCs w:val="30"/>
        </w:rPr>
        <w:t>年度预算安排</w:t>
      </w:r>
    </w:p>
    <w:p w14:paraId="796DD25D">
      <w:pPr>
        <w:pStyle w:val="8"/>
        <w:ind w:left="853" w:firstLine="0" w:firstLineChars="0"/>
        <w:rPr>
          <w:rFonts w:ascii="仿宋" w:hAnsi="仿宋" w:eastAsia="仿宋"/>
          <w:sz w:val="30"/>
          <w:szCs w:val="30"/>
        </w:rPr>
      </w:pPr>
      <w:r>
        <w:rPr>
          <w:rFonts w:hint="eastAsia" w:ascii="仿宋" w:hAnsi="仿宋" w:eastAsia="仿宋"/>
          <w:sz w:val="30"/>
          <w:szCs w:val="30"/>
        </w:rPr>
        <w:t>2020年0.5万元。</w:t>
      </w:r>
    </w:p>
    <w:p w14:paraId="76CDC51D">
      <w:pPr>
        <w:widowControl/>
        <w:spacing w:line="330" w:lineRule="atLeast"/>
        <w:ind w:firstLine="600" w:firstLineChars="200"/>
        <w:jc w:val="left"/>
        <w:rPr>
          <w:rFonts w:ascii="仿宋" w:hAnsi="仿宋" w:eastAsia="仿宋" w:cs="仿宋"/>
          <w:color w:val="000000"/>
          <w:kern w:val="0"/>
          <w:sz w:val="30"/>
          <w:szCs w:val="30"/>
        </w:rPr>
      </w:pPr>
    </w:p>
    <w:p w14:paraId="01B201A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5BF1622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51FEF99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6068626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3FFFEC4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48A660E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3A4F82E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3486E8A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452D990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2DA2FEE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23CD891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49A8F02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4C1414C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6B8D662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724D471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331FB10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4618AEB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0807DD3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46BBE92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2DFDA01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2020</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941F53"/>
    <w:multiLevelType w:val="multilevel"/>
    <w:tmpl w:val="10941F53"/>
    <w:lvl w:ilvl="0" w:tentative="0">
      <w:start w:val="1"/>
      <w:numFmt w:val="decimal"/>
      <w:lvlText w:val="%1."/>
      <w:lvlJc w:val="left"/>
      <w:pPr>
        <w:ind w:left="853" w:hanging="360"/>
      </w:pPr>
      <w:rPr>
        <w:rFonts w:hint="default"/>
      </w:rPr>
    </w:lvl>
    <w:lvl w:ilvl="1" w:tentative="0">
      <w:start w:val="1"/>
      <w:numFmt w:val="lowerLetter"/>
      <w:lvlText w:val="%2)"/>
      <w:lvlJc w:val="left"/>
      <w:pPr>
        <w:ind w:left="1333" w:hanging="420"/>
      </w:pPr>
    </w:lvl>
    <w:lvl w:ilvl="2" w:tentative="0">
      <w:start w:val="1"/>
      <w:numFmt w:val="lowerRoman"/>
      <w:lvlText w:val="%3."/>
      <w:lvlJc w:val="right"/>
      <w:pPr>
        <w:ind w:left="1753" w:hanging="420"/>
      </w:pPr>
    </w:lvl>
    <w:lvl w:ilvl="3" w:tentative="0">
      <w:start w:val="1"/>
      <w:numFmt w:val="decimal"/>
      <w:lvlText w:val="%4."/>
      <w:lvlJc w:val="left"/>
      <w:pPr>
        <w:ind w:left="2173" w:hanging="420"/>
      </w:pPr>
    </w:lvl>
    <w:lvl w:ilvl="4" w:tentative="0">
      <w:start w:val="1"/>
      <w:numFmt w:val="lowerLetter"/>
      <w:lvlText w:val="%5)"/>
      <w:lvlJc w:val="left"/>
      <w:pPr>
        <w:ind w:left="2593" w:hanging="420"/>
      </w:pPr>
    </w:lvl>
    <w:lvl w:ilvl="5" w:tentative="0">
      <w:start w:val="1"/>
      <w:numFmt w:val="lowerRoman"/>
      <w:lvlText w:val="%6."/>
      <w:lvlJc w:val="right"/>
      <w:pPr>
        <w:ind w:left="3013" w:hanging="420"/>
      </w:pPr>
    </w:lvl>
    <w:lvl w:ilvl="6" w:tentative="0">
      <w:start w:val="1"/>
      <w:numFmt w:val="decimal"/>
      <w:lvlText w:val="%7."/>
      <w:lvlJc w:val="left"/>
      <w:pPr>
        <w:ind w:left="3433" w:hanging="420"/>
      </w:pPr>
    </w:lvl>
    <w:lvl w:ilvl="7" w:tentative="0">
      <w:start w:val="1"/>
      <w:numFmt w:val="lowerLetter"/>
      <w:lvlText w:val="%8)"/>
      <w:lvlJc w:val="left"/>
      <w:pPr>
        <w:ind w:left="3853" w:hanging="420"/>
      </w:pPr>
    </w:lvl>
    <w:lvl w:ilvl="8" w:tentative="0">
      <w:start w:val="1"/>
      <w:numFmt w:val="lowerRoman"/>
      <w:lvlText w:val="%9."/>
      <w:lvlJc w:val="right"/>
      <w:pPr>
        <w:ind w:left="4273"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0194"/>
    <w:rsid w:val="00012A66"/>
    <w:rsid w:val="000130C2"/>
    <w:rsid w:val="000A55C1"/>
    <w:rsid w:val="000B6C6E"/>
    <w:rsid w:val="00101BE5"/>
    <w:rsid w:val="00104AD4"/>
    <w:rsid w:val="0010550E"/>
    <w:rsid w:val="00163E2A"/>
    <w:rsid w:val="00164A2E"/>
    <w:rsid w:val="00165857"/>
    <w:rsid w:val="00187190"/>
    <w:rsid w:val="001961A4"/>
    <w:rsid w:val="001E3E93"/>
    <w:rsid w:val="00231FF1"/>
    <w:rsid w:val="00264775"/>
    <w:rsid w:val="00265F8B"/>
    <w:rsid w:val="003003AA"/>
    <w:rsid w:val="0033427F"/>
    <w:rsid w:val="00342DA2"/>
    <w:rsid w:val="003B50ED"/>
    <w:rsid w:val="003C65CD"/>
    <w:rsid w:val="003E61DA"/>
    <w:rsid w:val="003F2AA1"/>
    <w:rsid w:val="003F4DFF"/>
    <w:rsid w:val="004221E9"/>
    <w:rsid w:val="004616FF"/>
    <w:rsid w:val="004B288C"/>
    <w:rsid w:val="004B3D92"/>
    <w:rsid w:val="004C77BF"/>
    <w:rsid w:val="005431AD"/>
    <w:rsid w:val="00590555"/>
    <w:rsid w:val="00594FB5"/>
    <w:rsid w:val="005A04CC"/>
    <w:rsid w:val="005C5CA0"/>
    <w:rsid w:val="005F4DCC"/>
    <w:rsid w:val="00606850"/>
    <w:rsid w:val="00614500"/>
    <w:rsid w:val="00641DCA"/>
    <w:rsid w:val="00643208"/>
    <w:rsid w:val="006541E5"/>
    <w:rsid w:val="0065712E"/>
    <w:rsid w:val="006B44AB"/>
    <w:rsid w:val="00753345"/>
    <w:rsid w:val="00753F26"/>
    <w:rsid w:val="00755C7B"/>
    <w:rsid w:val="00760A66"/>
    <w:rsid w:val="00762EF8"/>
    <w:rsid w:val="007805EB"/>
    <w:rsid w:val="00793572"/>
    <w:rsid w:val="007B12D0"/>
    <w:rsid w:val="007B2426"/>
    <w:rsid w:val="007C5E3C"/>
    <w:rsid w:val="007F23D9"/>
    <w:rsid w:val="008207A6"/>
    <w:rsid w:val="00826E6F"/>
    <w:rsid w:val="008371E4"/>
    <w:rsid w:val="00841C21"/>
    <w:rsid w:val="008620BC"/>
    <w:rsid w:val="008641D1"/>
    <w:rsid w:val="008B01B8"/>
    <w:rsid w:val="0091225B"/>
    <w:rsid w:val="009244A6"/>
    <w:rsid w:val="009310B6"/>
    <w:rsid w:val="00941B10"/>
    <w:rsid w:val="00961681"/>
    <w:rsid w:val="009652AA"/>
    <w:rsid w:val="00976485"/>
    <w:rsid w:val="00983A47"/>
    <w:rsid w:val="009848F0"/>
    <w:rsid w:val="009F1015"/>
    <w:rsid w:val="009F229D"/>
    <w:rsid w:val="00A12672"/>
    <w:rsid w:val="00A13D07"/>
    <w:rsid w:val="00A150E4"/>
    <w:rsid w:val="00A26A44"/>
    <w:rsid w:val="00A377FD"/>
    <w:rsid w:val="00A5549A"/>
    <w:rsid w:val="00A70656"/>
    <w:rsid w:val="00A7639E"/>
    <w:rsid w:val="00A924A6"/>
    <w:rsid w:val="00AE3579"/>
    <w:rsid w:val="00B217F1"/>
    <w:rsid w:val="00B26EB1"/>
    <w:rsid w:val="00B271FC"/>
    <w:rsid w:val="00B40E6C"/>
    <w:rsid w:val="00B5641E"/>
    <w:rsid w:val="00B568D3"/>
    <w:rsid w:val="00BF58A0"/>
    <w:rsid w:val="00C052C0"/>
    <w:rsid w:val="00C361B2"/>
    <w:rsid w:val="00C67479"/>
    <w:rsid w:val="00C8369D"/>
    <w:rsid w:val="00CB43BE"/>
    <w:rsid w:val="00CD7BAB"/>
    <w:rsid w:val="00CF43DA"/>
    <w:rsid w:val="00D10236"/>
    <w:rsid w:val="00D176CA"/>
    <w:rsid w:val="00D400F0"/>
    <w:rsid w:val="00D43853"/>
    <w:rsid w:val="00D614E1"/>
    <w:rsid w:val="00D82E50"/>
    <w:rsid w:val="00DA0D67"/>
    <w:rsid w:val="00DC1136"/>
    <w:rsid w:val="00DD605A"/>
    <w:rsid w:val="00DD67CE"/>
    <w:rsid w:val="00DE571F"/>
    <w:rsid w:val="00DF2079"/>
    <w:rsid w:val="00E160F9"/>
    <w:rsid w:val="00E333E8"/>
    <w:rsid w:val="00E679E1"/>
    <w:rsid w:val="00E72DA4"/>
    <w:rsid w:val="00E804EF"/>
    <w:rsid w:val="00E90F07"/>
    <w:rsid w:val="00EA15E7"/>
    <w:rsid w:val="00EB6E55"/>
    <w:rsid w:val="00EE134B"/>
    <w:rsid w:val="00F00CDD"/>
    <w:rsid w:val="00F01060"/>
    <w:rsid w:val="00F251AC"/>
    <w:rsid w:val="00F713C4"/>
    <w:rsid w:val="00F761D5"/>
    <w:rsid w:val="00F76F83"/>
    <w:rsid w:val="00F94B86"/>
    <w:rsid w:val="00FB16F8"/>
    <w:rsid w:val="00FB3F0C"/>
    <w:rsid w:val="00FC5228"/>
    <w:rsid w:val="00FD042E"/>
    <w:rsid w:val="00FD7251"/>
    <w:rsid w:val="1BA4288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locked/>
    <w:uiPriority w:val="99"/>
    <w:rPr>
      <w:rFonts w:ascii="Times New Roman" w:hAnsi="Times New Roman" w:eastAsia="宋体" w:cs="Times New Roman"/>
      <w:sz w:val="18"/>
      <w:szCs w:val="18"/>
    </w:rPr>
  </w:style>
  <w:style w:type="character" w:customStyle="1" w:styleId="7">
    <w:name w:val="页脚 Char"/>
    <w:basedOn w:val="5"/>
    <w:link w:val="2"/>
    <w:semiHidden/>
    <w:locked/>
    <w:uiPriority w:val="99"/>
    <w:rPr>
      <w:rFonts w:ascii="Times New Roman" w:hAnsi="Times New Roman" w:eastAsia="宋体" w:cs="Times New Roman"/>
      <w:sz w:val="18"/>
      <w:szCs w:val="18"/>
    </w:rPr>
  </w:style>
  <w:style w:type="paragraph" w:styleId="8">
    <w:name w:val="List Paragraph"/>
    <w:basedOn w:val="1"/>
    <w:qFormat/>
    <w:uiPriority w:val="34"/>
    <w:pPr>
      <w:ind w:left="1570"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2588</Words>
  <Characters>2691</Characters>
  <Lines>21</Lines>
  <Paragraphs>6</Paragraphs>
  <TotalTime>75</TotalTime>
  <ScaleCrop>false</ScaleCrop>
  <LinksUpToDate>false</LinksUpToDate>
  <CharactersWithSpaces>2959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2025-12-19T07:16:08Z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9BCB1EBBF24C450C99759935294D42F1_12</vt:lpwstr>
  </property>
</Properties>
</file>