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295BA8">
      <w:pPr>
        <w:spacing w:line="600" w:lineRule="exact"/>
        <w:rPr>
          <w:rFonts w:ascii="仿宋_GB2312" w:eastAsia="仿宋_GB2312"/>
          <w:sz w:val="32"/>
          <w:szCs w:val="32"/>
        </w:rPr>
      </w:pPr>
      <w:bookmarkStart w:id="0" w:name="_GoBack"/>
      <w:bookmarkEnd w:id="0"/>
    </w:p>
    <w:p w14:paraId="01B9CF9D">
      <w:pPr>
        <w:widowControl/>
        <w:spacing w:line="330" w:lineRule="atLeast"/>
        <w:rPr>
          <w:rFonts w:ascii="仿宋" w:hAnsi="仿宋" w:eastAsia="仿宋"/>
          <w:b/>
          <w:bCs/>
          <w:color w:val="000000"/>
          <w:sz w:val="30"/>
          <w:szCs w:val="30"/>
        </w:rPr>
      </w:pPr>
      <w:r>
        <w:rPr>
          <w:rFonts w:ascii="仿宋" w:hAnsi="仿宋" w:eastAsia="仿宋" w:cs="仿宋"/>
          <w:b/>
          <w:bCs/>
          <w:sz w:val="30"/>
          <w:szCs w:val="30"/>
        </w:rPr>
        <w:t xml:space="preserve">      </w:t>
      </w:r>
      <w:r>
        <w:rPr>
          <w:rFonts w:hint="eastAsia" w:ascii="仿宋" w:hAnsi="仿宋" w:eastAsia="仿宋" w:cs="仿宋"/>
          <w:b/>
          <w:bCs/>
          <w:sz w:val="30"/>
          <w:szCs w:val="30"/>
        </w:rPr>
        <w:t>高新区人力资源和社会保障局</w:t>
      </w:r>
      <w:r>
        <w:rPr>
          <w:rFonts w:ascii="仿宋" w:hAnsi="仿宋" w:eastAsia="仿宋" w:cs="仿宋"/>
          <w:b/>
          <w:bCs/>
          <w:sz w:val="30"/>
          <w:szCs w:val="30"/>
        </w:rPr>
        <w:t>20</w:t>
      </w:r>
      <w:r>
        <w:rPr>
          <w:rFonts w:hint="eastAsia" w:ascii="仿宋" w:hAnsi="仿宋" w:eastAsia="仿宋" w:cs="仿宋"/>
          <w:b/>
          <w:bCs/>
          <w:sz w:val="30"/>
          <w:szCs w:val="30"/>
        </w:rPr>
        <w:t>20年部门预算</w:t>
      </w:r>
      <w:r>
        <w:rPr>
          <w:rFonts w:ascii="仿宋" w:hAnsi="仿宋" w:eastAsia="仿宋" w:cs="仿宋"/>
          <w:b/>
          <w:bCs/>
          <w:sz w:val="30"/>
          <w:szCs w:val="30"/>
        </w:rPr>
        <w:t xml:space="preserve">                                                                                                                                                                                                              </w:t>
      </w:r>
    </w:p>
    <w:p w14:paraId="4683CCEE">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0BA53AD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0A596D5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10821285">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贯彻执行党和国家机构编制工作的方针、政策、法律、法规。结合本区实际，研究制定全区机构编制管理规定和办法；负责园区党工委、管委会机关、直属事业单位和所辖街道的机构设置、岗位设置和人员编制管理工作；负责编委办公室的其它日常工作；</w:t>
      </w:r>
    </w:p>
    <w:p w14:paraId="33C416FD">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、负责园区党工委、管委会机关、直属事业单位和所辖街道的公务员、事业编制人员及临时雇员的招聘、录用、考核、调配、奖惩等管理工作；</w:t>
      </w:r>
      <w:r>
        <w:rPr>
          <w:rFonts w:ascii="仿宋" w:hAnsi="仿宋" w:eastAsia="仿宋" w:cs="仿宋"/>
          <w:color w:val="000000"/>
          <w:kern w:val="0"/>
          <w:sz w:val="30"/>
          <w:szCs w:val="30"/>
        </w:rPr>
        <w:t xml:space="preserve"> </w:t>
      </w:r>
    </w:p>
    <w:p w14:paraId="1435F051">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、负责园区党工委、管委会机关、直属企事业单位和所辖街道薪酬分配的总体调控和相关审批；</w:t>
      </w:r>
    </w:p>
    <w:p w14:paraId="6E58C18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、负责本级政府参加大连市政府年度工作绩效评估的组织协调工作；指导党工委、管委会机关、直属事业单位和所辖街道开展绩效管理和考核工作；</w:t>
      </w:r>
      <w:r>
        <w:rPr>
          <w:rFonts w:ascii="仿宋" w:hAnsi="仿宋" w:eastAsia="仿宋" w:cs="仿宋"/>
          <w:color w:val="000000"/>
          <w:kern w:val="0"/>
          <w:sz w:val="30"/>
          <w:szCs w:val="30"/>
        </w:rPr>
        <w:t xml:space="preserve"> </w:t>
      </w:r>
    </w:p>
    <w:p w14:paraId="385A71D3">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、制定园区管委会直属企业分配制度指导意见，调控企业工资分配水平，实行工资总额管理控制，加强工资审核和监管；</w:t>
      </w:r>
    </w:p>
    <w:p w14:paraId="58CEBF7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、组织制定全区人才发展规划、人才政策和管理规定，经批准后组织实施；</w:t>
      </w:r>
    </w:p>
    <w:p w14:paraId="1E2BA8EE">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、负责园区管委会机关和直属事业单位专业技术人员职称聘任和技能人员技术等级考核工作；</w:t>
      </w:r>
    </w:p>
    <w:p w14:paraId="2191A26A">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、负责全区高级人才、海外留学人才以及引进国外智力管理工作；</w:t>
      </w:r>
      <w:r>
        <w:rPr>
          <w:rFonts w:ascii="仿宋" w:hAnsi="仿宋" w:eastAsia="仿宋" w:cs="仿宋"/>
          <w:color w:val="000000"/>
          <w:kern w:val="0"/>
          <w:sz w:val="30"/>
          <w:szCs w:val="30"/>
        </w:rPr>
        <w:t xml:space="preserve"> </w:t>
      </w:r>
    </w:p>
    <w:p w14:paraId="658DB4B2">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、负责园区博士后科研工作站和博士后科研基地管理工作；</w:t>
      </w:r>
    </w:p>
    <w:p w14:paraId="6DFD743C">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10</w:t>
      </w:r>
      <w:r>
        <w:rPr>
          <w:rFonts w:hint="eastAsia" w:ascii="仿宋" w:hAnsi="仿宋" w:eastAsia="仿宋" w:cs="仿宋"/>
          <w:color w:val="000000"/>
          <w:kern w:val="0"/>
          <w:sz w:val="30"/>
          <w:szCs w:val="30"/>
        </w:rPr>
        <w:t>、负责军队转业干部接收安置工作；</w:t>
      </w:r>
    </w:p>
    <w:p w14:paraId="6F233771">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11</w:t>
      </w:r>
      <w:r>
        <w:rPr>
          <w:rFonts w:hint="eastAsia" w:ascii="仿宋" w:hAnsi="仿宋" w:eastAsia="仿宋" w:cs="仿宋"/>
          <w:color w:val="000000"/>
          <w:kern w:val="0"/>
          <w:sz w:val="30"/>
          <w:szCs w:val="30"/>
        </w:rPr>
        <w:t>、负责园区企事业单位人员人事关系接转；</w:t>
      </w:r>
    </w:p>
    <w:p w14:paraId="4E923156">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、负责园区党工委、管委会机关、直属事业单位和所辖街道机构人员的教育培训工作；</w:t>
      </w:r>
    </w:p>
    <w:p w14:paraId="5C3E5313">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13</w:t>
      </w:r>
      <w:r>
        <w:rPr>
          <w:rFonts w:hint="eastAsia" w:ascii="仿宋" w:hAnsi="仿宋" w:eastAsia="仿宋" w:cs="仿宋"/>
          <w:color w:val="000000"/>
          <w:kern w:val="0"/>
          <w:sz w:val="30"/>
          <w:szCs w:val="30"/>
        </w:rPr>
        <w:t>、负责全区继续教育管理工作；</w:t>
      </w:r>
    </w:p>
    <w:p w14:paraId="47964634">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14</w:t>
      </w:r>
      <w:r>
        <w:rPr>
          <w:rFonts w:hint="eastAsia" w:ascii="仿宋" w:hAnsi="仿宋" w:eastAsia="仿宋" w:cs="仿宋"/>
          <w:color w:val="000000"/>
          <w:kern w:val="0"/>
          <w:sz w:val="30"/>
          <w:szCs w:val="30"/>
        </w:rPr>
        <w:t>、组织劳动法规的宣传贯彻落实，负责园区企事业单位劳动工资管理、劳动培训、退休审核、工伤认定、劳动监察和劳动仲裁工作；</w:t>
      </w:r>
    </w:p>
    <w:p w14:paraId="48568006">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、统筹管理全区人力资源的开发利用和就业指导、就业培训工作；</w:t>
      </w:r>
    </w:p>
    <w:p w14:paraId="401DBE44">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、负责全区人才政策的组织实施和监督，指导园区人才服务机构开展人力资源管理活动；</w:t>
      </w:r>
    </w:p>
    <w:p w14:paraId="510BA90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、综合管理全区人力资源市场，制定建设规划、运作规则并实施监督。</w:t>
      </w:r>
    </w:p>
    <w:p w14:paraId="758012B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36C057D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w:t>
      </w:r>
      <w:r>
        <w:rPr>
          <w:rFonts w:hint="eastAsia" w:ascii="仿宋" w:hAnsi="仿宋" w:eastAsia="仿宋" w:cs="仿宋"/>
          <w:bCs/>
          <w:sz w:val="30"/>
          <w:szCs w:val="30"/>
        </w:rPr>
        <w:t>人力资源和社会保障局</w:t>
      </w:r>
      <w:r>
        <w:rPr>
          <w:rFonts w:hint="eastAsia" w:ascii="仿宋" w:hAnsi="仿宋" w:eastAsia="仿宋" w:cs="仿宋"/>
          <w:color w:val="000000"/>
          <w:kern w:val="0"/>
          <w:sz w:val="30"/>
          <w:szCs w:val="30"/>
        </w:rPr>
        <w:t>部门预算为本部综合收支计划，无二级单位。</w:t>
      </w:r>
    </w:p>
    <w:p w14:paraId="0793E7F8">
      <w:pPr>
        <w:widowControl/>
        <w:spacing w:line="330" w:lineRule="atLeast"/>
        <w:ind w:firstLine="600" w:firstLineChars="200"/>
        <w:jc w:val="left"/>
        <w:rPr>
          <w:rFonts w:ascii="仿宋" w:hAnsi="仿宋" w:eastAsia="仿宋" w:cs="仿宋"/>
          <w:color w:val="000000"/>
          <w:kern w:val="0"/>
          <w:sz w:val="30"/>
          <w:szCs w:val="30"/>
        </w:rPr>
      </w:pPr>
    </w:p>
    <w:p w14:paraId="1F02DC5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3FE8580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C5A705C">
      <w:pPr>
        <w:spacing w:line="600" w:lineRule="exact"/>
        <w:ind w:firstLine="600" w:firstLineChars="200"/>
        <w:rPr>
          <w:rFonts w:ascii="仿宋" w:hAnsi="仿宋" w:eastAsia="仿宋" w:cs="仿宋"/>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w:t>
      </w:r>
      <w:r>
        <w:rPr>
          <w:rFonts w:hint="eastAsia" w:ascii="仿宋" w:hAnsi="仿宋" w:eastAsia="仿宋" w:cs="仿宋"/>
          <w:kern w:val="0"/>
          <w:sz w:val="30"/>
          <w:szCs w:val="30"/>
        </w:rPr>
        <w:t>收入包括：财政拨款收入543.7万元；支出包括：商品和服务支出103.7万元，对个人和家庭的补助310万元,对企事业单位的补贴130万元。全部为一般公共预算收支，无政府性基金预算收支。</w:t>
      </w:r>
      <w:r>
        <w:rPr>
          <w:rFonts w:hint="eastAsia" w:ascii="仿宋" w:hAnsi="仿宋" w:eastAsia="仿宋" w:cs="仿宋"/>
          <w:color w:val="000000"/>
          <w:kern w:val="0"/>
          <w:sz w:val="30"/>
          <w:szCs w:val="30"/>
        </w:rPr>
        <w:t>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年预算数减少2206.4万元，其中财政拨款收入比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年预算数减少2206.4万元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w:t>
      </w:r>
      <w:r>
        <w:rPr>
          <w:rFonts w:hint="eastAsia" w:ascii="仿宋" w:hAnsi="仿宋" w:eastAsia="仿宋" w:cs="仿宋"/>
          <w:kern w:val="0"/>
          <w:sz w:val="30"/>
          <w:szCs w:val="30"/>
        </w:rPr>
        <w:t>比</w:t>
      </w:r>
      <w:r>
        <w:rPr>
          <w:rFonts w:ascii="仿宋" w:hAnsi="仿宋" w:eastAsia="仿宋" w:cs="仿宋"/>
          <w:kern w:val="0"/>
          <w:sz w:val="30"/>
          <w:szCs w:val="30"/>
        </w:rPr>
        <w:t>201</w:t>
      </w:r>
      <w:r>
        <w:rPr>
          <w:rFonts w:hint="eastAsia" w:ascii="仿宋" w:hAnsi="仿宋" w:eastAsia="仿宋" w:cs="仿宋"/>
          <w:kern w:val="0"/>
          <w:sz w:val="30"/>
          <w:szCs w:val="30"/>
        </w:rPr>
        <w:t>9年预算数减少2206.4万元，其中商品和服务支出减少205.4万元，对个人家庭补助支出增加199万元</w:t>
      </w:r>
      <w:r>
        <w:rPr>
          <w:rFonts w:ascii="仿宋" w:hAnsi="仿宋" w:eastAsia="仿宋" w:cs="仿宋"/>
          <w:kern w:val="0"/>
          <w:sz w:val="30"/>
          <w:szCs w:val="30"/>
        </w:rPr>
        <w:t>,</w:t>
      </w:r>
      <w:r>
        <w:rPr>
          <w:rFonts w:hint="eastAsia" w:ascii="仿宋" w:hAnsi="仿宋" w:eastAsia="仿宋" w:cs="仿宋"/>
          <w:kern w:val="0"/>
          <w:sz w:val="30"/>
          <w:szCs w:val="30"/>
        </w:rPr>
        <w:t xml:space="preserve"> 对企事业单位的补贴减少2200万元。</w:t>
      </w:r>
    </w:p>
    <w:p w14:paraId="54961153">
      <w:pPr>
        <w:spacing w:line="60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二、“三公”经费预算情况说明</w:t>
      </w:r>
    </w:p>
    <w:p w14:paraId="7A54EF5B">
      <w:pPr>
        <w:spacing w:line="600" w:lineRule="exact"/>
        <w:ind w:firstLine="600" w:firstLineChars="200"/>
        <w:rPr>
          <w:rFonts w:ascii="仿宋" w:hAnsi="仿宋" w:eastAsia="仿宋"/>
          <w:sz w:val="30"/>
          <w:szCs w:val="30"/>
        </w:rPr>
      </w:pPr>
      <w:r>
        <w:rPr>
          <w:rFonts w:hint="eastAsia" w:ascii="仿宋" w:hAnsi="仿宋" w:eastAsia="仿宋" w:cs="仿宋"/>
          <w:kern w:val="0"/>
          <w:sz w:val="30"/>
          <w:szCs w:val="30"/>
        </w:rPr>
        <w:t>无“三公”经费预算事项</w:t>
      </w:r>
      <w:r>
        <w:rPr>
          <w:rFonts w:ascii="仿宋" w:hAnsi="仿宋" w:eastAsia="仿宋" w:cs="仿宋"/>
          <w:kern w:val="0"/>
          <w:sz w:val="30"/>
          <w:szCs w:val="30"/>
        </w:rPr>
        <w:t>,</w:t>
      </w:r>
      <w:r>
        <w:rPr>
          <w:rFonts w:hint="eastAsia" w:ascii="仿宋" w:hAnsi="仿宋" w:eastAsia="仿宋" w:cs="仿宋"/>
          <w:kern w:val="0"/>
          <w:sz w:val="30"/>
          <w:szCs w:val="30"/>
        </w:rPr>
        <w:t>与去年相同。主要是按照中</w:t>
      </w:r>
      <w:r>
        <w:rPr>
          <w:rFonts w:hint="eastAsia" w:ascii="仿宋" w:hAnsi="仿宋" w:eastAsia="仿宋" w:cs="仿宋"/>
          <w:color w:val="000000"/>
          <w:kern w:val="0"/>
          <w:sz w:val="30"/>
          <w:szCs w:val="30"/>
        </w:rPr>
        <w:t>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3FB2E81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3964E5A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机关运行经费包括定额公用经费17.2万元。</w:t>
      </w:r>
    </w:p>
    <w:p w14:paraId="5D92E230">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四、政府采购情况说明</w:t>
      </w:r>
    </w:p>
    <w:p w14:paraId="2420F8C7">
      <w:pPr>
        <w:widowControl/>
        <w:spacing w:line="330" w:lineRule="atLeast"/>
        <w:ind w:firstLine="600" w:firstLineChars="200"/>
        <w:jc w:val="left"/>
        <w:rPr>
          <w:rFonts w:ascii="仿宋" w:hAnsi="仿宋" w:eastAsia="仿宋"/>
          <w:sz w:val="30"/>
          <w:szCs w:val="30"/>
        </w:rPr>
      </w:pPr>
      <w:r>
        <w:rPr>
          <w:rFonts w:hint="eastAsia" w:ascii="仿宋" w:hAnsi="仿宋" w:eastAsia="仿宋"/>
          <w:sz w:val="30"/>
          <w:szCs w:val="30"/>
        </w:rPr>
        <w:t>人才服务大厦公共服务平台物业费、电费（人才处）130万元。</w:t>
      </w:r>
    </w:p>
    <w:p w14:paraId="18693849">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五、政府性基金收支预算情况</w:t>
      </w:r>
    </w:p>
    <w:p w14:paraId="47AFF464">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无政府性基金预算收支。</w:t>
      </w:r>
    </w:p>
    <w:p w14:paraId="119A6E9B">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420D96D7">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国有资产占有使用情况说明为：截至2019年12月31日，部门（单位）共有车辆1辆；单位价值50万元（含）以上通用设备0台（套）；单位价值100万元以上专用设备0台（套）。</w:t>
      </w:r>
    </w:p>
    <w:p w14:paraId="45923FDD">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240A1C41">
      <w:pPr>
        <w:widowControl/>
        <w:spacing w:line="330" w:lineRule="atLeast"/>
        <w:ind w:firstLine="600" w:firstLineChars="200"/>
        <w:jc w:val="left"/>
        <w:rPr>
          <w:rFonts w:ascii="仿宋" w:hAnsi="仿宋" w:eastAsia="仿宋" w:cs="Verdana"/>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20年，按照“先有绩效，后有预算”原则，本部门共计编制绩效目标12个，预算金额</w:t>
      </w:r>
      <w:r>
        <w:rPr>
          <w:rFonts w:ascii="仿宋" w:hAnsi="仿宋" w:eastAsia="仿宋" w:cs="Verdana"/>
          <w:kern w:val="0"/>
          <w:sz w:val="30"/>
          <w:szCs w:val="30"/>
        </w:rPr>
        <w:t>526.5</w:t>
      </w:r>
      <w:r>
        <w:rPr>
          <w:rFonts w:hint="eastAsia" w:ascii="仿宋" w:hAnsi="仿宋" w:eastAsia="仿宋" w:cs="Verdana"/>
          <w:kern w:val="0"/>
          <w:sz w:val="30"/>
          <w:szCs w:val="30"/>
        </w:rPr>
        <w:t>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14:paraId="2897E3FF">
      <w:pPr>
        <w:ind w:firstLine="600" w:firstLineChars="200"/>
        <w:outlineLvl w:val="0"/>
        <w:rPr>
          <w:rFonts w:ascii="仿宋" w:hAnsi="仿宋" w:eastAsia="仿宋" w:cs="仿宋"/>
          <w:kern w:val="0"/>
          <w:sz w:val="30"/>
          <w:szCs w:val="30"/>
        </w:rPr>
      </w:pPr>
      <w:r>
        <w:rPr>
          <w:rFonts w:hint="eastAsia" w:ascii="仿宋" w:hAnsi="仿宋" w:eastAsia="仿宋" w:cs="仿宋"/>
          <w:kern w:val="0"/>
          <w:sz w:val="30"/>
          <w:szCs w:val="30"/>
        </w:rPr>
        <w:t>八、人社局机构改革材料印刷费项目情况</w:t>
      </w:r>
    </w:p>
    <w:p w14:paraId="22CBE5FA">
      <w:pPr>
        <w:ind w:firstLine="600" w:firstLineChars="200"/>
        <w:outlineLvl w:val="0"/>
        <w:rPr>
          <w:rFonts w:ascii="仿宋" w:hAnsi="仿宋" w:eastAsia="仿宋" w:cs="仿宋"/>
          <w:kern w:val="0"/>
          <w:sz w:val="30"/>
          <w:szCs w:val="30"/>
        </w:rPr>
      </w:pPr>
      <w:r>
        <w:rPr>
          <w:rFonts w:hint="eastAsia" w:ascii="仿宋" w:hAnsi="仿宋" w:eastAsia="仿宋" w:cs="仿宋"/>
          <w:kern w:val="0"/>
          <w:sz w:val="30"/>
          <w:szCs w:val="30"/>
        </w:rPr>
        <w:t>1.项目概述</w:t>
      </w:r>
    </w:p>
    <w:p w14:paraId="3931A7E7">
      <w:pPr>
        <w:ind w:firstLine="600" w:firstLineChars="200"/>
        <w:outlineLvl w:val="0"/>
        <w:rPr>
          <w:rFonts w:ascii="仿宋" w:hAnsi="仿宋" w:eastAsia="仿宋" w:cs="仿宋"/>
          <w:kern w:val="0"/>
          <w:sz w:val="30"/>
          <w:szCs w:val="30"/>
        </w:rPr>
      </w:pPr>
      <w:r>
        <w:rPr>
          <w:rFonts w:hint="eastAsia" w:ascii="仿宋" w:hAnsi="仿宋" w:eastAsia="仿宋" w:cs="仿宋"/>
          <w:kern w:val="0"/>
          <w:sz w:val="30"/>
          <w:szCs w:val="30"/>
        </w:rPr>
        <w:t>为深入推进园区改革，进一步研究机构设置方案，结合园区改革进一步深化事业单位改革，按照上级部门要求协同有关部门推进园区体制机构改革、机构改革等有关工作，形成机构改革有关文件。</w:t>
      </w:r>
    </w:p>
    <w:p w14:paraId="45497AE9">
      <w:pPr>
        <w:ind w:firstLine="600" w:firstLineChars="200"/>
        <w:rPr>
          <w:rFonts w:ascii="仿宋" w:hAnsi="仿宋" w:eastAsia="仿宋" w:cs="仿宋"/>
          <w:kern w:val="0"/>
          <w:sz w:val="30"/>
          <w:szCs w:val="30"/>
        </w:rPr>
      </w:pPr>
      <w:r>
        <w:rPr>
          <w:rFonts w:hint="eastAsia" w:ascii="仿宋" w:hAnsi="仿宋" w:eastAsia="仿宋" w:cs="仿宋"/>
          <w:kern w:val="0"/>
          <w:sz w:val="30"/>
          <w:szCs w:val="30"/>
        </w:rPr>
        <w:t>2.立项依据</w:t>
      </w:r>
    </w:p>
    <w:p w14:paraId="3A2EB550">
      <w:pPr>
        <w:ind w:firstLine="640" w:firstLineChars="200"/>
        <w:rPr>
          <w:rFonts w:ascii="仿宋" w:hAnsi="仿宋" w:eastAsia="仿宋"/>
          <w:sz w:val="32"/>
          <w:szCs w:val="32"/>
        </w:rPr>
      </w:pPr>
      <w:r>
        <w:rPr>
          <w:rFonts w:hint="eastAsia" w:ascii="仿宋" w:hAnsi="仿宋" w:eastAsia="仿宋"/>
          <w:sz w:val="32"/>
          <w:szCs w:val="32"/>
        </w:rPr>
        <w:t>（1）贯彻执行党和国家机构编制工作的方针、政策、法律、法规；</w:t>
      </w:r>
    </w:p>
    <w:p w14:paraId="03F1795C">
      <w:pPr>
        <w:ind w:firstLine="600" w:firstLineChars="200"/>
        <w:rPr>
          <w:rFonts w:ascii="仿宋" w:hAnsi="仿宋" w:eastAsia="仿宋" w:cs="仿宋"/>
          <w:kern w:val="0"/>
          <w:sz w:val="30"/>
          <w:szCs w:val="30"/>
        </w:rPr>
      </w:pPr>
      <w:r>
        <w:rPr>
          <w:rFonts w:hint="eastAsia" w:ascii="仿宋" w:hAnsi="仿宋" w:eastAsia="仿宋" w:cs="仿宋"/>
          <w:kern w:val="0"/>
          <w:sz w:val="30"/>
          <w:szCs w:val="30"/>
        </w:rPr>
        <w:t>（2）</w:t>
      </w:r>
      <w:r>
        <w:rPr>
          <w:rFonts w:hint="eastAsia" w:ascii="仿宋" w:hAnsi="仿宋" w:eastAsia="仿宋"/>
          <w:sz w:val="32"/>
          <w:szCs w:val="32"/>
        </w:rPr>
        <w:t>结合本区实际，研究制定全区机构编制管理规定和办法；</w:t>
      </w:r>
    </w:p>
    <w:p w14:paraId="3BC95E9A">
      <w:pPr>
        <w:ind w:firstLine="600" w:firstLineChars="200"/>
        <w:rPr>
          <w:rFonts w:ascii="仿宋" w:hAnsi="仿宋" w:eastAsia="仿宋" w:cs="仿宋"/>
          <w:kern w:val="0"/>
          <w:sz w:val="30"/>
          <w:szCs w:val="30"/>
        </w:rPr>
      </w:pPr>
      <w:r>
        <w:rPr>
          <w:rFonts w:hint="eastAsia" w:ascii="仿宋" w:hAnsi="仿宋" w:eastAsia="仿宋" w:cs="仿宋"/>
          <w:kern w:val="0"/>
          <w:sz w:val="30"/>
          <w:szCs w:val="30"/>
        </w:rPr>
        <w:t>（3）</w:t>
      </w:r>
      <w:r>
        <w:rPr>
          <w:rFonts w:hint="eastAsia" w:ascii="仿宋" w:hAnsi="仿宋" w:eastAsia="仿宋"/>
          <w:sz w:val="32"/>
          <w:szCs w:val="32"/>
        </w:rPr>
        <w:t>负责园区党工委、管委会机关、直属事业单位和所辖街道的机构设置和人员编制管理工作；</w:t>
      </w:r>
    </w:p>
    <w:p w14:paraId="74E74EB4">
      <w:pPr>
        <w:ind w:firstLine="600" w:firstLineChars="200"/>
        <w:rPr>
          <w:rFonts w:ascii="仿宋" w:hAnsi="仿宋" w:eastAsia="仿宋" w:cs="仿宋"/>
          <w:kern w:val="0"/>
          <w:sz w:val="30"/>
          <w:szCs w:val="30"/>
        </w:rPr>
      </w:pPr>
      <w:r>
        <w:rPr>
          <w:rFonts w:hint="eastAsia" w:ascii="仿宋" w:hAnsi="仿宋" w:eastAsia="仿宋" w:cs="仿宋"/>
          <w:kern w:val="0"/>
          <w:sz w:val="30"/>
          <w:szCs w:val="30"/>
        </w:rPr>
        <w:t>（4）</w:t>
      </w:r>
      <w:r>
        <w:rPr>
          <w:rFonts w:hint="eastAsia" w:ascii="仿宋" w:hAnsi="仿宋" w:eastAsia="仿宋"/>
          <w:sz w:val="32"/>
          <w:szCs w:val="32"/>
        </w:rPr>
        <w:t>协同有关部门推进园区体制机制改革、机构改革等有关工作；</w:t>
      </w:r>
    </w:p>
    <w:p w14:paraId="58E47808">
      <w:pPr>
        <w:ind w:firstLine="600" w:firstLineChars="200"/>
        <w:outlineLvl w:val="0"/>
        <w:rPr>
          <w:rFonts w:ascii="仿宋" w:hAnsi="仿宋" w:eastAsia="仿宋" w:cs="仿宋"/>
          <w:kern w:val="0"/>
          <w:sz w:val="30"/>
          <w:szCs w:val="30"/>
        </w:rPr>
      </w:pPr>
      <w:r>
        <w:rPr>
          <w:rFonts w:hint="eastAsia" w:ascii="仿宋" w:hAnsi="仿宋" w:eastAsia="仿宋" w:cs="仿宋"/>
          <w:kern w:val="0"/>
          <w:sz w:val="30"/>
          <w:szCs w:val="30"/>
        </w:rPr>
        <w:t>3.实施主体</w:t>
      </w:r>
    </w:p>
    <w:p w14:paraId="529D0408">
      <w:pPr>
        <w:ind w:firstLine="600" w:firstLineChars="200"/>
        <w:rPr>
          <w:rFonts w:ascii="仿宋" w:hAnsi="仿宋" w:eastAsia="仿宋" w:cs="仿宋"/>
          <w:kern w:val="0"/>
          <w:sz w:val="30"/>
          <w:szCs w:val="30"/>
        </w:rPr>
      </w:pPr>
      <w:r>
        <w:rPr>
          <w:rFonts w:hint="eastAsia" w:ascii="仿宋" w:hAnsi="仿宋" w:eastAsia="仿宋" w:cs="仿宋"/>
          <w:kern w:val="0"/>
          <w:sz w:val="30"/>
          <w:szCs w:val="30"/>
        </w:rPr>
        <w:t>高新区人力资源和社会保障局机构编制处</w:t>
      </w:r>
    </w:p>
    <w:p w14:paraId="7981F4B8">
      <w:pPr>
        <w:ind w:firstLine="600" w:firstLineChars="200"/>
        <w:outlineLvl w:val="0"/>
        <w:rPr>
          <w:rFonts w:ascii="仿宋" w:hAnsi="仿宋" w:eastAsia="仿宋" w:cs="仿宋"/>
          <w:kern w:val="0"/>
          <w:sz w:val="30"/>
          <w:szCs w:val="30"/>
        </w:rPr>
      </w:pPr>
      <w:r>
        <w:rPr>
          <w:rFonts w:hint="eastAsia" w:ascii="仿宋" w:hAnsi="仿宋" w:eastAsia="仿宋" w:cs="仿宋"/>
          <w:kern w:val="0"/>
          <w:sz w:val="30"/>
          <w:szCs w:val="30"/>
        </w:rPr>
        <w:t>4.实施方案</w:t>
      </w:r>
    </w:p>
    <w:p w14:paraId="08C419E2">
      <w:pPr>
        <w:ind w:firstLine="640" w:firstLineChars="200"/>
        <w:outlineLvl w:val="0"/>
        <w:rPr>
          <w:rFonts w:ascii="仿宋" w:hAnsi="仿宋" w:eastAsia="仿宋" w:cs="仿宋"/>
          <w:kern w:val="0"/>
          <w:sz w:val="30"/>
          <w:szCs w:val="30"/>
        </w:rPr>
      </w:pPr>
      <w:r>
        <w:rPr>
          <w:rFonts w:hint="eastAsia" w:ascii="仿宋" w:hAnsi="仿宋" w:eastAsia="仿宋"/>
          <w:sz w:val="32"/>
          <w:szCs w:val="32"/>
        </w:rPr>
        <w:t>结合市园区改革的总体要求，进一步深化研究机构设置方案，待市明确高新区机构设置方案后，进一步深入细化部门“三定”。结合园区改革进一步深化事业单位改革，明确机关和事业单位职责划分，进一步理顺事业单位运行机制。按上级部门的要求，及时报送机构改革工作的基础材料，完成上报资料任务；形成机构改革方案、机关、事业单位“三定规定等文件，上报管委会审议。</w:t>
      </w:r>
    </w:p>
    <w:p w14:paraId="4E075297">
      <w:pPr>
        <w:ind w:firstLine="600" w:firstLineChars="200"/>
        <w:rPr>
          <w:rFonts w:ascii="仿宋" w:hAnsi="仿宋" w:eastAsia="仿宋" w:cs="仿宋"/>
          <w:kern w:val="0"/>
          <w:sz w:val="30"/>
          <w:szCs w:val="30"/>
        </w:rPr>
      </w:pPr>
      <w:r>
        <w:rPr>
          <w:rFonts w:hint="eastAsia" w:ascii="仿宋" w:hAnsi="仿宋" w:eastAsia="仿宋" w:cs="仿宋"/>
          <w:kern w:val="0"/>
          <w:sz w:val="30"/>
          <w:szCs w:val="30"/>
        </w:rPr>
        <w:t>5.实施周期</w:t>
      </w:r>
    </w:p>
    <w:p w14:paraId="5E924987">
      <w:pPr>
        <w:ind w:firstLine="600" w:firstLineChars="200"/>
        <w:rPr>
          <w:rFonts w:ascii="仿宋" w:hAnsi="仿宋" w:eastAsia="仿宋" w:cs="仿宋"/>
          <w:kern w:val="0"/>
          <w:sz w:val="30"/>
          <w:szCs w:val="30"/>
        </w:rPr>
      </w:pPr>
      <w:r>
        <w:rPr>
          <w:rFonts w:hint="eastAsia" w:ascii="仿宋" w:hAnsi="仿宋" w:eastAsia="仿宋" w:cs="仿宋"/>
          <w:kern w:val="0"/>
          <w:sz w:val="30"/>
          <w:szCs w:val="30"/>
        </w:rPr>
        <w:t>按照市园区改革总体要求实时推进。</w:t>
      </w:r>
    </w:p>
    <w:p w14:paraId="751A1D24">
      <w:pPr>
        <w:ind w:firstLine="600" w:firstLineChars="200"/>
        <w:rPr>
          <w:rFonts w:ascii="仿宋" w:hAnsi="仿宋" w:eastAsia="仿宋" w:cs="仿宋"/>
          <w:kern w:val="0"/>
          <w:sz w:val="30"/>
          <w:szCs w:val="30"/>
        </w:rPr>
      </w:pPr>
      <w:r>
        <w:rPr>
          <w:rFonts w:hint="eastAsia" w:ascii="仿宋" w:hAnsi="仿宋" w:eastAsia="仿宋" w:cs="仿宋"/>
          <w:kern w:val="0"/>
          <w:sz w:val="30"/>
          <w:szCs w:val="30"/>
        </w:rPr>
        <w:t>项目从起始到终止的时间。若为长期实施项目，可注明。</w:t>
      </w:r>
    </w:p>
    <w:p w14:paraId="108CC171">
      <w:pPr>
        <w:ind w:firstLine="600" w:firstLineChars="200"/>
        <w:rPr>
          <w:rFonts w:ascii="仿宋" w:hAnsi="仿宋" w:eastAsia="仿宋" w:cs="仿宋"/>
          <w:kern w:val="0"/>
          <w:sz w:val="30"/>
          <w:szCs w:val="30"/>
        </w:rPr>
      </w:pPr>
      <w:r>
        <w:rPr>
          <w:rFonts w:hint="eastAsia" w:ascii="仿宋" w:hAnsi="仿宋" w:eastAsia="仿宋" w:cs="仿宋"/>
          <w:kern w:val="0"/>
          <w:sz w:val="30"/>
          <w:szCs w:val="30"/>
        </w:rPr>
        <w:t>6.年度预算安排</w:t>
      </w:r>
    </w:p>
    <w:p w14:paraId="228F4EC5">
      <w:pPr>
        <w:ind w:firstLine="600" w:firstLineChars="200"/>
        <w:rPr>
          <w:rFonts w:ascii="仿宋" w:hAnsi="仿宋" w:eastAsia="仿宋" w:cs="仿宋"/>
          <w:kern w:val="0"/>
          <w:sz w:val="30"/>
          <w:szCs w:val="30"/>
        </w:rPr>
      </w:pPr>
      <w:r>
        <w:rPr>
          <w:rFonts w:hint="eastAsia" w:ascii="仿宋" w:hAnsi="仿宋" w:eastAsia="仿宋" w:cs="仿宋"/>
          <w:kern w:val="0"/>
          <w:sz w:val="30"/>
          <w:szCs w:val="30"/>
        </w:rPr>
        <w:t>2020年拟安排该项目一般公共预算3万元，主要用于印刷机构改革有关文件。</w:t>
      </w:r>
    </w:p>
    <w:p w14:paraId="42E3C734">
      <w:pPr>
        <w:widowControl/>
        <w:spacing w:line="330" w:lineRule="atLeast"/>
        <w:ind w:firstLine="600" w:firstLineChars="200"/>
        <w:jc w:val="left"/>
        <w:rPr>
          <w:rFonts w:ascii="仿宋" w:hAnsi="仿宋" w:eastAsia="仿宋" w:cs="仿宋"/>
          <w:color w:val="FF0000"/>
          <w:kern w:val="0"/>
          <w:sz w:val="30"/>
          <w:szCs w:val="30"/>
        </w:rPr>
      </w:pPr>
    </w:p>
    <w:p w14:paraId="3E4AC42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035D639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2CDA5C8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0DF2350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72A7A44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7201550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7AD45D5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DE9BD7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4CB3BBE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D8C888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33F2B3D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6A4428E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F7E7AF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21EFA6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DA21EF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39705C9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180464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BF74D5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388CC5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74486B6F">
      <w:pPr>
        <w:widowControl/>
        <w:spacing w:line="330" w:lineRule="atLeast"/>
        <w:ind w:firstLine="600" w:firstLineChars="200"/>
        <w:jc w:val="left"/>
        <w:rPr>
          <w:rFonts w:ascii="仿宋" w:hAnsi="仿宋" w:eastAsia="仿宋"/>
          <w:color w:val="000000"/>
          <w:sz w:val="30"/>
          <w:szCs w:val="30"/>
        </w:rPr>
      </w:pPr>
    </w:p>
    <w:p w14:paraId="45D99285">
      <w:pPr>
        <w:spacing w:line="600" w:lineRule="exact"/>
        <w:rPr>
          <w:rFonts w:ascii="仿宋" w:hAnsi="仿宋" w:eastAsia="仿宋"/>
          <w:sz w:val="30"/>
          <w:szCs w:val="30"/>
        </w:rPr>
      </w:pPr>
      <w:r>
        <w:rPr>
          <w:rFonts w:ascii="仿宋" w:hAnsi="仿宋" w:eastAsia="仿宋" w:cs="仿宋"/>
          <w:sz w:val="30"/>
          <w:szCs w:val="30"/>
        </w:rPr>
        <w:t xml:space="preserve">                                 20</w:t>
      </w:r>
      <w:r>
        <w:rPr>
          <w:rFonts w:hint="eastAsia" w:ascii="仿宋" w:hAnsi="仿宋" w:eastAsia="仿宋" w:cs="仿宋"/>
          <w:sz w:val="30"/>
          <w:szCs w:val="30"/>
        </w:rPr>
        <w:t>20年6月4日</w:t>
      </w:r>
    </w:p>
    <w:p w14:paraId="44978822">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5D1C"/>
    <w:rsid w:val="00022F10"/>
    <w:rsid w:val="00085A8B"/>
    <w:rsid w:val="00086201"/>
    <w:rsid w:val="00087FB8"/>
    <w:rsid w:val="00092B15"/>
    <w:rsid w:val="000A22DA"/>
    <w:rsid w:val="000B6E92"/>
    <w:rsid w:val="000C0BB8"/>
    <w:rsid w:val="000F105F"/>
    <w:rsid w:val="001042B7"/>
    <w:rsid w:val="0010550E"/>
    <w:rsid w:val="00112300"/>
    <w:rsid w:val="00164A2E"/>
    <w:rsid w:val="00187190"/>
    <w:rsid w:val="001961A4"/>
    <w:rsid w:val="001A3469"/>
    <w:rsid w:val="001A6B2D"/>
    <w:rsid w:val="001E3E93"/>
    <w:rsid w:val="001F5DF5"/>
    <w:rsid w:val="00230A82"/>
    <w:rsid w:val="00264775"/>
    <w:rsid w:val="00292425"/>
    <w:rsid w:val="002D6A6E"/>
    <w:rsid w:val="0032449C"/>
    <w:rsid w:val="00355850"/>
    <w:rsid w:val="00386062"/>
    <w:rsid w:val="00395F24"/>
    <w:rsid w:val="003B39AC"/>
    <w:rsid w:val="003B50ED"/>
    <w:rsid w:val="003F4DFF"/>
    <w:rsid w:val="004138C4"/>
    <w:rsid w:val="004221E9"/>
    <w:rsid w:val="00422B10"/>
    <w:rsid w:val="00466AAB"/>
    <w:rsid w:val="0047274B"/>
    <w:rsid w:val="00473B78"/>
    <w:rsid w:val="004A2824"/>
    <w:rsid w:val="004C3052"/>
    <w:rsid w:val="004E6D86"/>
    <w:rsid w:val="00502417"/>
    <w:rsid w:val="005239D8"/>
    <w:rsid w:val="005434F4"/>
    <w:rsid w:val="00583375"/>
    <w:rsid w:val="00597317"/>
    <w:rsid w:val="005A04CC"/>
    <w:rsid w:val="005A2BB2"/>
    <w:rsid w:val="005B700F"/>
    <w:rsid w:val="005C685F"/>
    <w:rsid w:val="005E2137"/>
    <w:rsid w:val="005F46EA"/>
    <w:rsid w:val="005F4DCC"/>
    <w:rsid w:val="005F7AE7"/>
    <w:rsid w:val="00604898"/>
    <w:rsid w:val="00624B47"/>
    <w:rsid w:val="00642099"/>
    <w:rsid w:val="00651624"/>
    <w:rsid w:val="0065661F"/>
    <w:rsid w:val="006A7CCB"/>
    <w:rsid w:val="006B7273"/>
    <w:rsid w:val="006F11A2"/>
    <w:rsid w:val="006F3530"/>
    <w:rsid w:val="00705793"/>
    <w:rsid w:val="00707273"/>
    <w:rsid w:val="00743A71"/>
    <w:rsid w:val="007454C8"/>
    <w:rsid w:val="00755C7B"/>
    <w:rsid w:val="00763987"/>
    <w:rsid w:val="007805EB"/>
    <w:rsid w:val="00786954"/>
    <w:rsid w:val="00794CAA"/>
    <w:rsid w:val="00807388"/>
    <w:rsid w:val="00833D29"/>
    <w:rsid w:val="0084508B"/>
    <w:rsid w:val="008620BC"/>
    <w:rsid w:val="008710ED"/>
    <w:rsid w:val="008A0447"/>
    <w:rsid w:val="008B01B8"/>
    <w:rsid w:val="008D0AD6"/>
    <w:rsid w:val="008F28DA"/>
    <w:rsid w:val="00907B68"/>
    <w:rsid w:val="00941B10"/>
    <w:rsid w:val="00961681"/>
    <w:rsid w:val="00980189"/>
    <w:rsid w:val="009F1015"/>
    <w:rsid w:val="00A12672"/>
    <w:rsid w:val="00A150E4"/>
    <w:rsid w:val="00A26A44"/>
    <w:rsid w:val="00A4438B"/>
    <w:rsid w:val="00A5549A"/>
    <w:rsid w:val="00A6493B"/>
    <w:rsid w:val="00A97DD9"/>
    <w:rsid w:val="00AD5654"/>
    <w:rsid w:val="00AD7E4C"/>
    <w:rsid w:val="00AE5B13"/>
    <w:rsid w:val="00B17FBE"/>
    <w:rsid w:val="00B23C7B"/>
    <w:rsid w:val="00B2454E"/>
    <w:rsid w:val="00B24F47"/>
    <w:rsid w:val="00BB5FCF"/>
    <w:rsid w:val="00BD48C8"/>
    <w:rsid w:val="00BE1B4E"/>
    <w:rsid w:val="00BF46FB"/>
    <w:rsid w:val="00C14232"/>
    <w:rsid w:val="00C161D2"/>
    <w:rsid w:val="00C67479"/>
    <w:rsid w:val="00C8096D"/>
    <w:rsid w:val="00CA0389"/>
    <w:rsid w:val="00D10236"/>
    <w:rsid w:val="00D176CA"/>
    <w:rsid w:val="00D400F0"/>
    <w:rsid w:val="00DB4A45"/>
    <w:rsid w:val="00DC1136"/>
    <w:rsid w:val="00DD605A"/>
    <w:rsid w:val="00E0505D"/>
    <w:rsid w:val="00E42610"/>
    <w:rsid w:val="00E4427A"/>
    <w:rsid w:val="00E756F8"/>
    <w:rsid w:val="00EA493B"/>
    <w:rsid w:val="00EB6E55"/>
    <w:rsid w:val="00EC785B"/>
    <w:rsid w:val="00EE134B"/>
    <w:rsid w:val="00F01060"/>
    <w:rsid w:val="00F04907"/>
    <w:rsid w:val="00F244AE"/>
    <w:rsid w:val="00F315DB"/>
    <w:rsid w:val="00F713C4"/>
    <w:rsid w:val="00FC72AF"/>
    <w:rsid w:val="00FD7251"/>
    <w:rsid w:val="00FF0F73"/>
    <w:rsid w:val="444E3D4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3176</Words>
  <Characters>3296</Characters>
  <Lines>25</Lines>
  <Paragraphs>7</Paragraphs>
  <TotalTime>175</TotalTime>
  <ScaleCrop>false</ScaleCrop>
  <LinksUpToDate>false</LinksUpToDate>
  <CharactersWithSpaces>3554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2025-12-19T07:31:12Z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9AE88D7984274DB18094CE04F965BEA0_12</vt:lpwstr>
  </property>
</Properties>
</file>