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A21FF">
      <w:pPr>
        <w:spacing w:line="600" w:lineRule="exact"/>
        <w:rPr>
          <w:rFonts w:ascii="仿宋_GB2312" w:eastAsia="仿宋_GB2312"/>
          <w:sz w:val="32"/>
          <w:szCs w:val="32"/>
        </w:rPr>
      </w:pPr>
      <w:bookmarkStart w:id="0" w:name="_GoBack"/>
      <w:bookmarkEnd w:id="0"/>
    </w:p>
    <w:p w14:paraId="2FB8D5C1">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高新区财政局</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30B861DC">
      <w:pPr>
        <w:widowControl/>
        <w:spacing w:line="330" w:lineRule="atLeast"/>
        <w:ind w:firstLine="602" w:firstLineChars="200"/>
        <w:jc w:val="left"/>
        <w:rPr>
          <w:rFonts w:ascii="仿宋" w:hAnsi="仿宋" w:eastAsia="仿宋"/>
          <w:b/>
          <w:bCs/>
          <w:sz w:val="30"/>
          <w:szCs w:val="30"/>
        </w:rPr>
      </w:pPr>
    </w:p>
    <w:p w14:paraId="7C2B033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288D04B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9601D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、贯彻执行国家、省、市有关财政法规、规章和政策，根据园区国民经济计划和社会发展战略，编制中长期财政计划；研究制订园区财政政策及财务会计管理制度，制定构建地方公共财政体系的政策、制度；</w:t>
      </w:r>
    </w:p>
    <w:p w14:paraId="331A1D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、参与园区国民经济的决策和管理，运用财政、税收、补贴等经济杠杆，对经济运行进行调控和监督；配合有关部门进行企业财务、劳动工资、人事管理、人才引进、科技管理及招商引资等体制机制改革；</w:t>
      </w:r>
    </w:p>
    <w:p w14:paraId="68510E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依据《预算法》编制年度区级财政预算和决算，组织并监督年度财政预算的执行；管理区级各项财政收入、非税收入（包括政府性基金和行政事业性收费），制订有关非税收入管理制度及办法；合理调度、及时拨付财政资金；研究并推进园区国库收付制度改革工作；负责园区罚没财物的管理、监督工作；制定和规范各项财政收入和支出管理的具体办法，组织财政性资金的综合平衡；</w:t>
      </w:r>
    </w:p>
    <w:p w14:paraId="1907D4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、联系、协调与国税、地税等部门的税政业务工作；根据国家税收法律、法规或授权进行税政检查；贯彻执行国家授权的地方税减免规定和各项税收优惠政策，监督各类税收减免和有关税款退库事项；</w:t>
      </w:r>
    </w:p>
    <w:p w14:paraId="4945540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管理园区财政公共支出，协调分配、管理监督各种专项资金；组织贯彻执行《事业单位财务规则》、《行政单位财务规则》等有关财务规章制度；拟定园区行政、事业单位财务管理及各项财政资金的监督办法；负责政府采购政策的制定、管理和监督，编制园区政府采购计划和预算，组织实施政府采购；制定园区统一的有关开支标准；</w:t>
      </w:r>
    </w:p>
    <w:p w14:paraId="0086F6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、管理和监督各种财政性经济建设支出；审查财政性基本建设投资资金的概、预、决算，执行基本建设财务管理制度；管理国债转贷等各种有偿使用资金；</w:t>
      </w:r>
    </w:p>
    <w:p w14:paraId="207494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、组织执行国家颁布的企业财务制度和国家与企业的分配政策；管理园区的境内、外企业财务，审查汇总财务决算；</w:t>
      </w:r>
    </w:p>
    <w:p w14:paraId="131BDA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、贯彻《会计法》等法律、法规及企业、行政事业单位的会计制度；管理全区会计工作，负责会计人员从业资格的管理，组织实施会计人员的继续教育；</w:t>
      </w:r>
    </w:p>
    <w:p w14:paraId="7818FB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园区财政监督检查工作，贯彻落实国家、省、市财政监督检查的规章及实施办法；监督财政、税收管理的方针政策、法律法规的执行；会同有关部门检查财政收支中的重大问题，提出加强财政的政策建议，依法查处违反财经纪律的案件；</w:t>
      </w:r>
    </w:p>
    <w:p w14:paraId="409DA90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、制定财政职工教育规划；组织财政业务培训和人才培养，提高干部队伍素质；负责财政信息和财政宣传工作；做好财政系统干部职工思想政治工作，抓好精神文明建设、廉政建设和软环境建设工作。</w:t>
      </w:r>
    </w:p>
    <w:p w14:paraId="53530C2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7D408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年财政局部门预算为本部综合收支计划，无二级单位。</w:t>
      </w:r>
    </w:p>
    <w:p w14:paraId="5116F27B">
      <w:pPr>
        <w:widowControl/>
        <w:spacing w:line="330" w:lineRule="atLeast"/>
        <w:ind w:firstLine="600" w:firstLineChars="200"/>
        <w:jc w:val="left"/>
        <w:rPr>
          <w:rFonts w:ascii="仿宋" w:hAnsi="仿宋" w:eastAsia="仿宋" w:cs="仿宋"/>
          <w:color w:val="000000"/>
          <w:kern w:val="0"/>
          <w:sz w:val="30"/>
          <w:szCs w:val="30"/>
        </w:rPr>
      </w:pPr>
    </w:p>
    <w:p w14:paraId="2D20881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614EBB4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一、总体说明</w:t>
      </w:r>
    </w:p>
    <w:p w14:paraId="1BF791C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91</w:t>
      </w:r>
      <w:r>
        <w:rPr>
          <w:rFonts w:hint="eastAsia" w:ascii="仿宋" w:hAnsi="仿宋" w:eastAsia="仿宋" w:cs="仿宋"/>
          <w:color w:val="000000"/>
          <w:kern w:val="0"/>
          <w:sz w:val="30"/>
          <w:szCs w:val="30"/>
        </w:rPr>
        <w:t>万元；支出包括：商品和服务支出</w:t>
      </w:r>
      <w:r>
        <w:rPr>
          <w:rFonts w:ascii="仿宋" w:hAnsi="仿宋" w:eastAsia="仿宋" w:cs="仿宋"/>
          <w:color w:val="000000"/>
          <w:kern w:val="0"/>
          <w:sz w:val="30"/>
          <w:szCs w:val="30"/>
        </w:rPr>
        <w:t>91</w:t>
      </w:r>
      <w:r>
        <w:rPr>
          <w:rFonts w:hint="eastAsia" w:ascii="仿宋" w:hAnsi="仿宋" w:eastAsia="仿宋" w:cs="仿宋"/>
          <w:color w:val="000000"/>
          <w:kern w:val="0"/>
          <w:sz w:val="30"/>
          <w:szCs w:val="30"/>
        </w:rPr>
        <w:t>万元。全部为一般公共预算收支，无政府性基金预算收支。收入比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年预算数减少165.3万元，其中财政拨款收入比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年预算数减少165.3万元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年预算数减少165.3万元，其中商品和服务支出减少165.3万元。</w:t>
      </w:r>
    </w:p>
    <w:p w14:paraId="0ABCC75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二、“三公”经费预算情况说明</w:t>
      </w:r>
    </w:p>
    <w:p w14:paraId="58BD8DE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无“三公”经费预算事项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423778F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三、机关运行经费安排情况说明</w:t>
      </w:r>
    </w:p>
    <w:p w14:paraId="417BE74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8.5</w:t>
      </w:r>
      <w:r>
        <w:rPr>
          <w:rFonts w:hint="eastAsia" w:ascii="仿宋" w:hAnsi="仿宋" w:eastAsia="仿宋" w:cs="仿宋"/>
          <w:color w:val="000000"/>
          <w:kern w:val="0"/>
          <w:sz w:val="30"/>
          <w:szCs w:val="30"/>
        </w:rPr>
        <w:t>万元。</w:t>
      </w:r>
    </w:p>
    <w:p w14:paraId="774998F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四、政府采购情况说明</w:t>
      </w:r>
    </w:p>
    <w:p w14:paraId="28B03F1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0494C9B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1004A4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902C03E">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4FE8B95C">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国有资产占有使用情况说明为：截至2019年12月31日，部门（单位）共有车辆0辆；单位价值50万元（含）以上通用设备1台（套）；单位价值100万元以上专用设备0台（套）。</w:t>
      </w:r>
    </w:p>
    <w:p w14:paraId="2C1841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266B7A3">
      <w:pPr>
        <w:ind w:firstLine="600" w:firstLineChars="200"/>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w:t>
      </w:r>
      <w:r>
        <w:rPr>
          <w:rFonts w:hint="eastAsia" w:ascii="仿宋" w:hAnsi="仿宋" w:eastAsia="仿宋" w:cs="仿宋"/>
          <w:color w:val="000000"/>
          <w:kern w:val="0"/>
          <w:sz w:val="30"/>
          <w:szCs w:val="30"/>
        </w:rPr>
        <w:t>目标2个</w:t>
      </w:r>
      <w:r>
        <w:rPr>
          <w:rFonts w:hint="eastAsia" w:ascii="仿宋" w:hAnsi="仿宋" w:eastAsia="仿宋" w:cs="Verdana"/>
          <w:color w:val="000000"/>
          <w:kern w:val="0"/>
          <w:sz w:val="30"/>
          <w:szCs w:val="30"/>
        </w:rPr>
        <w:t>，预算金额</w:t>
      </w:r>
      <w:r>
        <w:rPr>
          <w:rFonts w:ascii="仿宋" w:hAnsi="仿宋" w:eastAsia="仿宋" w:cs="Verdana"/>
          <w:color w:val="000000"/>
          <w:kern w:val="0"/>
          <w:sz w:val="30"/>
          <w:szCs w:val="30"/>
        </w:rPr>
        <w:t>82.5</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170A5E8A">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八、国库集中支付系统服务费项目情况</w:t>
      </w:r>
    </w:p>
    <w:p w14:paraId="0C0E11F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7D10514D">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国库集中支付系统服务费。</w:t>
      </w:r>
    </w:p>
    <w:p w14:paraId="55EC9F55">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39F4A58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国库集中支付相关规定。</w:t>
      </w:r>
    </w:p>
    <w:p w14:paraId="47003F10">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1530860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w:t>
      </w:r>
      <w:r>
        <w:rPr>
          <w:rFonts w:ascii="仿宋" w:hAnsi="仿宋" w:eastAsia="仿宋" w:cs="仿宋"/>
          <w:color w:val="000000"/>
          <w:kern w:val="0"/>
          <w:sz w:val="30"/>
          <w:szCs w:val="30"/>
        </w:rPr>
        <w:t>具体组织实施</w:t>
      </w:r>
      <w:r>
        <w:rPr>
          <w:rFonts w:hint="eastAsia" w:ascii="仿宋" w:hAnsi="仿宋" w:eastAsia="仿宋" w:cs="仿宋"/>
          <w:color w:val="000000"/>
          <w:kern w:val="0"/>
          <w:sz w:val="30"/>
          <w:szCs w:val="30"/>
        </w:rPr>
        <w:t>的</w:t>
      </w:r>
      <w:r>
        <w:rPr>
          <w:rFonts w:ascii="仿宋" w:hAnsi="仿宋" w:eastAsia="仿宋" w:cs="仿宋"/>
          <w:color w:val="000000"/>
          <w:kern w:val="0"/>
          <w:sz w:val="30"/>
          <w:szCs w:val="30"/>
        </w:rPr>
        <w:t>部门</w:t>
      </w:r>
      <w:r>
        <w:rPr>
          <w:rFonts w:hint="eastAsia" w:ascii="仿宋" w:hAnsi="仿宋" w:eastAsia="仿宋" w:cs="仿宋"/>
          <w:color w:val="000000"/>
          <w:kern w:val="0"/>
          <w:sz w:val="30"/>
          <w:szCs w:val="30"/>
        </w:rPr>
        <w:t>：财政局。</w:t>
      </w:r>
    </w:p>
    <w:p w14:paraId="289F1EC6">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70B129F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具备资质的软件公司对国库集中支付系统提供运维服务，保证系统正常运行。</w:t>
      </w:r>
    </w:p>
    <w:p w14:paraId="63E6B48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65774AA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w:t>
      </w:r>
      <w:r>
        <w:rPr>
          <w:rFonts w:ascii="仿宋" w:hAnsi="仿宋" w:eastAsia="仿宋" w:cs="仿宋"/>
          <w:color w:val="000000"/>
          <w:kern w:val="0"/>
          <w:sz w:val="30"/>
          <w:szCs w:val="30"/>
        </w:rPr>
        <w:t>从</w:t>
      </w:r>
      <w:r>
        <w:rPr>
          <w:rFonts w:hint="eastAsia" w:ascii="仿宋" w:hAnsi="仿宋" w:eastAsia="仿宋" w:cs="仿宋"/>
          <w:color w:val="000000"/>
          <w:kern w:val="0"/>
          <w:sz w:val="30"/>
          <w:szCs w:val="30"/>
        </w:rPr>
        <w:t>2020年1月1日</w:t>
      </w:r>
      <w:r>
        <w:rPr>
          <w:rFonts w:ascii="仿宋" w:hAnsi="仿宋" w:eastAsia="仿宋" w:cs="仿宋"/>
          <w:color w:val="000000"/>
          <w:kern w:val="0"/>
          <w:sz w:val="30"/>
          <w:szCs w:val="30"/>
        </w:rPr>
        <w:t>起始到</w:t>
      </w:r>
      <w:r>
        <w:rPr>
          <w:rFonts w:hint="eastAsia" w:ascii="仿宋" w:hAnsi="仿宋" w:eastAsia="仿宋" w:cs="仿宋"/>
          <w:color w:val="000000"/>
          <w:kern w:val="0"/>
          <w:sz w:val="30"/>
          <w:szCs w:val="30"/>
        </w:rPr>
        <w:t>2020年12月31日终止</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按年度安排。</w:t>
      </w:r>
    </w:p>
    <w:p w14:paraId="3E26590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23735505">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20万元</w:t>
      </w:r>
    </w:p>
    <w:p w14:paraId="73CF5800">
      <w:pPr>
        <w:widowControl/>
        <w:spacing w:line="330" w:lineRule="atLeast"/>
        <w:ind w:firstLine="600" w:firstLineChars="200"/>
        <w:jc w:val="left"/>
        <w:rPr>
          <w:rFonts w:ascii="仿宋" w:hAnsi="仿宋" w:eastAsia="仿宋" w:cs="仿宋"/>
          <w:color w:val="000000"/>
          <w:kern w:val="0"/>
          <w:sz w:val="30"/>
          <w:szCs w:val="30"/>
        </w:rPr>
      </w:pPr>
    </w:p>
    <w:p w14:paraId="1539252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58110C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233A04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96072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FC030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2CA30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D9762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B7BE0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8D4EA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5D25F9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349F19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A5F9A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D040E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59D72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B418F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E94ED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4C3891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426FB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C5EAAA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F9D5C52">
      <w:pPr>
        <w:widowControl/>
        <w:spacing w:line="330" w:lineRule="atLeast"/>
        <w:ind w:firstLine="600" w:firstLineChars="200"/>
        <w:jc w:val="left"/>
        <w:rPr>
          <w:rFonts w:ascii="仿宋" w:hAnsi="仿宋" w:eastAsia="仿宋" w:cs="仿宋"/>
          <w:color w:val="000000"/>
          <w:kern w:val="0"/>
          <w:sz w:val="30"/>
          <w:szCs w:val="30"/>
        </w:rPr>
      </w:pPr>
    </w:p>
    <w:p w14:paraId="1467704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45206AB1">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130C2"/>
    <w:rsid w:val="000A55C1"/>
    <w:rsid w:val="00101BE5"/>
    <w:rsid w:val="00104AD4"/>
    <w:rsid w:val="0010550E"/>
    <w:rsid w:val="00107F66"/>
    <w:rsid w:val="00164A2E"/>
    <w:rsid w:val="00165857"/>
    <w:rsid w:val="00187190"/>
    <w:rsid w:val="001961A4"/>
    <w:rsid w:val="001E3E93"/>
    <w:rsid w:val="00264775"/>
    <w:rsid w:val="00265F8B"/>
    <w:rsid w:val="003003AA"/>
    <w:rsid w:val="00306E02"/>
    <w:rsid w:val="00342DA2"/>
    <w:rsid w:val="003B50ED"/>
    <w:rsid w:val="003C65CD"/>
    <w:rsid w:val="003E257B"/>
    <w:rsid w:val="003E61DA"/>
    <w:rsid w:val="003F2AA1"/>
    <w:rsid w:val="003F4DFF"/>
    <w:rsid w:val="004221E9"/>
    <w:rsid w:val="004A5963"/>
    <w:rsid w:val="004F505F"/>
    <w:rsid w:val="00544DA9"/>
    <w:rsid w:val="00594FB5"/>
    <w:rsid w:val="005A04CC"/>
    <w:rsid w:val="005F4DCC"/>
    <w:rsid w:val="00614500"/>
    <w:rsid w:val="006541E5"/>
    <w:rsid w:val="00685D7D"/>
    <w:rsid w:val="0069537D"/>
    <w:rsid w:val="006A71B4"/>
    <w:rsid w:val="006B7060"/>
    <w:rsid w:val="0072287B"/>
    <w:rsid w:val="00753345"/>
    <w:rsid w:val="00753F26"/>
    <w:rsid w:val="00755C7B"/>
    <w:rsid w:val="007805EB"/>
    <w:rsid w:val="00793572"/>
    <w:rsid w:val="007B12D0"/>
    <w:rsid w:val="007C5E3C"/>
    <w:rsid w:val="007F23D9"/>
    <w:rsid w:val="008207A6"/>
    <w:rsid w:val="00826E6F"/>
    <w:rsid w:val="00855E2A"/>
    <w:rsid w:val="008620BC"/>
    <w:rsid w:val="008641D1"/>
    <w:rsid w:val="008B01B8"/>
    <w:rsid w:val="008D2D31"/>
    <w:rsid w:val="009244A6"/>
    <w:rsid w:val="00941B10"/>
    <w:rsid w:val="00961681"/>
    <w:rsid w:val="009652AA"/>
    <w:rsid w:val="009848F0"/>
    <w:rsid w:val="009A78B1"/>
    <w:rsid w:val="009B2FB1"/>
    <w:rsid w:val="009F1015"/>
    <w:rsid w:val="009F229D"/>
    <w:rsid w:val="009F3CA0"/>
    <w:rsid w:val="00A07BC1"/>
    <w:rsid w:val="00A12672"/>
    <w:rsid w:val="00A150E4"/>
    <w:rsid w:val="00A26A44"/>
    <w:rsid w:val="00A377FD"/>
    <w:rsid w:val="00A5549A"/>
    <w:rsid w:val="00A70656"/>
    <w:rsid w:val="00A7639E"/>
    <w:rsid w:val="00A924A6"/>
    <w:rsid w:val="00B217F1"/>
    <w:rsid w:val="00B40E6C"/>
    <w:rsid w:val="00B5698C"/>
    <w:rsid w:val="00C052C0"/>
    <w:rsid w:val="00C31EB1"/>
    <w:rsid w:val="00C4614C"/>
    <w:rsid w:val="00C67479"/>
    <w:rsid w:val="00CF43DA"/>
    <w:rsid w:val="00D10236"/>
    <w:rsid w:val="00D176CA"/>
    <w:rsid w:val="00D400F0"/>
    <w:rsid w:val="00D71F70"/>
    <w:rsid w:val="00D82E50"/>
    <w:rsid w:val="00DC1136"/>
    <w:rsid w:val="00DC4538"/>
    <w:rsid w:val="00DD605A"/>
    <w:rsid w:val="00DD67CE"/>
    <w:rsid w:val="00DF2079"/>
    <w:rsid w:val="00E160F9"/>
    <w:rsid w:val="00E679E1"/>
    <w:rsid w:val="00E77678"/>
    <w:rsid w:val="00E804EF"/>
    <w:rsid w:val="00EA15E7"/>
    <w:rsid w:val="00EB6E55"/>
    <w:rsid w:val="00EB7ACB"/>
    <w:rsid w:val="00ED4198"/>
    <w:rsid w:val="00EE134B"/>
    <w:rsid w:val="00F01060"/>
    <w:rsid w:val="00F24C18"/>
    <w:rsid w:val="00F251AC"/>
    <w:rsid w:val="00F3433C"/>
    <w:rsid w:val="00F713C4"/>
    <w:rsid w:val="00F76F83"/>
    <w:rsid w:val="00F94B86"/>
    <w:rsid w:val="00FC327D"/>
    <w:rsid w:val="00FC5228"/>
    <w:rsid w:val="00FD042E"/>
    <w:rsid w:val="00FD7251"/>
    <w:rsid w:val="00FE1977"/>
    <w:rsid w:val="00FE4079"/>
    <w:rsid w:val="0104353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2977</Words>
  <Characters>3076</Characters>
  <Lines>22</Lines>
  <Paragraphs>6</Paragraphs>
  <TotalTime>67</TotalTime>
  <ScaleCrop>false</ScaleCrop>
  <LinksUpToDate>false</LinksUpToDate>
  <CharactersWithSpaces>3108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2025-12-19T07:28:12Z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D4491270C90B4ABAB8E7197CE210AEC4_12</vt:lpwstr>
  </property>
</Properties>
</file>