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2E55E1">
      <w:pPr>
        <w:spacing w:line="600" w:lineRule="exact"/>
        <w:rPr>
          <w:rFonts w:ascii="仿宋_GB2312" w:eastAsia="仿宋_GB2312"/>
          <w:sz w:val="32"/>
          <w:szCs w:val="32"/>
        </w:rPr>
      </w:pPr>
      <w:bookmarkStart w:id="0" w:name="_GoBack"/>
      <w:bookmarkEnd w:id="0"/>
    </w:p>
    <w:p w14:paraId="5D377524">
      <w:pPr>
        <w:widowControl/>
        <w:spacing w:line="330" w:lineRule="atLeast"/>
        <w:jc w:val="center"/>
        <w:rPr>
          <w:rFonts w:ascii="仿宋" w:hAnsi="仿宋" w:eastAsia="仿宋" w:cs="仿宋"/>
          <w:b/>
          <w:bCs/>
          <w:sz w:val="36"/>
          <w:szCs w:val="36"/>
        </w:rPr>
      </w:pPr>
      <w:r>
        <w:rPr>
          <w:rFonts w:hint="eastAsia" w:ascii="仿宋" w:hAnsi="仿宋" w:eastAsia="仿宋" w:cs="仿宋"/>
          <w:b/>
          <w:bCs/>
          <w:sz w:val="36"/>
          <w:szCs w:val="36"/>
        </w:rPr>
        <w:t>大连高新技术产业园区第三实验幼儿园</w:t>
      </w:r>
    </w:p>
    <w:p w14:paraId="009E5C8E">
      <w:pPr>
        <w:widowControl/>
        <w:spacing w:line="330" w:lineRule="atLeast"/>
        <w:jc w:val="center"/>
        <w:rPr>
          <w:rFonts w:ascii="仿宋" w:hAnsi="仿宋" w:eastAsia="仿宋"/>
          <w:b/>
          <w:bCs/>
          <w:sz w:val="36"/>
          <w:szCs w:val="36"/>
        </w:rPr>
      </w:pPr>
      <w:r>
        <w:rPr>
          <w:rFonts w:hint="eastAsia" w:ascii="仿宋" w:hAnsi="仿宋" w:eastAsia="仿宋" w:cs="仿宋"/>
          <w:b/>
          <w:bCs/>
          <w:sz w:val="36"/>
          <w:szCs w:val="36"/>
        </w:rPr>
        <w:t>2021</w:t>
      </w:r>
      <w:r>
        <w:rPr>
          <w:rFonts w:hint="eastAsia" w:ascii="仿宋" w:hAnsi="仿宋" w:eastAsia="仿宋" w:cs="仿宋"/>
          <w:b/>
          <w:bCs/>
          <w:color w:val="000000"/>
          <w:kern w:val="0"/>
          <w:sz w:val="36"/>
          <w:szCs w:val="36"/>
        </w:rPr>
        <w:t>年部门预算</w:t>
      </w:r>
    </w:p>
    <w:p w14:paraId="48780233">
      <w:pPr>
        <w:widowControl/>
        <w:spacing w:line="330" w:lineRule="atLeast"/>
        <w:ind w:firstLine="602" w:firstLineChars="200"/>
        <w:jc w:val="left"/>
        <w:rPr>
          <w:rFonts w:ascii="仿宋" w:hAnsi="仿宋" w:eastAsia="仿宋"/>
          <w:b/>
          <w:bCs/>
          <w:sz w:val="30"/>
          <w:szCs w:val="30"/>
        </w:rPr>
      </w:pPr>
      <w:r>
        <w:rPr>
          <w:rFonts w:ascii="仿宋" w:hAnsi="仿宋" w:eastAsia="仿宋" w:cs="仿宋"/>
          <w:b/>
          <w:bCs/>
          <w:sz w:val="30"/>
          <w:szCs w:val="30"/>
        </w:rPr>
        <w:t xml:space="preserve">                                                                                                                                                                                                                                  </w:t>
      </w:r>
    </w:p>
    <w:p w14:paraId="160CF7B1">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第一部分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部门概况</w:t>
      </w:r>
    </w:p>
    <w:p w14:paraId="275F4B97">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一、主要职责：</w:t>
      </w:r>
    </w:p>
    <w:p w14:paraId="755F38AF">
      <w:pPr>
        <w:spacing w:line="600" w:lineRule="exact"/>
        <w:ind w:firstLine="600" w:firstLineChars="200"/>
        <w:outlineLvl w:val="0"/>
        <w:rPr>
          <w:rFonts w:ascii="仿宋" w:hAnsi="仿宋" w:eastAsia="仿宋" w:cs="Verdana"/>
          <w:color w:val="000000"/>
          <w:kern w:val="0"/>
          <w:sz w:val="30"/>
          <w:szCs w:val="30"/>
        </w:rPr>
      </w:pPr>
      <w:r>
        <w:rPr>
          <w:rFonts w:hint="eastAsia" w:ascii="仿宋" w:hAnsi="仿宋" w:eastAsia="仿宋" w:cs="Verdana"/>
          <w:color w:val="000000"/>
          <w:kern w:val="0"/>
          <w:sz w:val="30"/>
          <w:szCs w:val="30"/>
        </w:rPr>
        <w:t>办学宗旨是为学龄前儿童提供保育和教育服务；业务范围是3-6岁幼儿保育和教育。</w:t>
      </w:r>
    </w:p>
    <w:p w14:paraId="639F7F00">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二、部门预算单位构成</w:t>
      </w:r>
    </w:p>
    <w:p w14:paraId="10F34F5E">
      <w:pPr>
        <w:widowControl/>
        <w:spacing w:line="330" w:lineRule="atLeast"/>
        <w:ind w:firstLine="600" w:firstLineChars="200"/>
        <w:jc w:val="left"/>
        <w:rPr>
          <w:rFonts w:ascii="仿宋" w:hAnsi="仿宋" w:eastAsia="仿宋" w:cs="Verdana"/>
          <w:color w:val="000000"/>
          <w:kern w:val="0"/>
          <w:sz w:val="30"/>
          <w:szCs w:val="30"/>
        </w:rPr>
      </w:pPr>
      <w:r>
        <w:rPr>
          <w:rFonts w:ascii="仿宋" w:hAnsi="仿宋" w:eastAsia="仿宋" w:cs="Verdana"/>
          <w:color w:val="000000"/>
          <w:kern w:val="0"/>
          <w:sz w:val="30"/>
          <w:szCs w:val="30"/>
        </w:rPr>
        <w:t>20</w:t>
      </w:r>
      <w:r>
        <w:rPr>
          <w:rFonts w:hint="eastAsia" w:ascii="仿宋" w:hAnsi="仿宋" w:eastAsia="仿宋" w:cs="Verdana"/>
          <w:color w:val="000000"/>
          <w:kern w:val="0"/>
          <w:sz w:val="30"/>
          <w:szCs w:val="30"/>
        </w:rPr>
        <w:t>21年第三实验幼儿园部门预算为本部门综合收支计划，无二级单位。</w:t>
      </w:r>
    </w:p>
    <w:p w14:paraId="5662D746">
      <w:pPr>
        <w:widowControl/>
        <w:spacing w:line="330" w:lineRule="atLeast"/>
        <w:ind w:firstLine="600" w:firstLineChars="200"/>
        <w:jc w:val="left"/>
        <w:rPr>
          <w:rFonts w:ascii="仿宋" w:hAnsi="仿宋" w:eastAsia="仿宋" w:cs="仿宋"/>
          <w:color w:val="000000"/>
          <w:kern w:val="0"/>
          <w:sz w:val="30"/>
          <w:szCs w:val="30"/>
        </w:rPr>
      </w:pPr>
    </w:p>
    <w:p w14:paraId="60FBB330">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第二部分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部门预算情况说明</w:t>
      </w:r>
    </w:p>
    <w:p w14:paraId="0CCEF586">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一、总体说明</w:t>
      </w:r>
    </w:p>
    <w:p w14:paraId="600CDD50">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按照综合预算的原则，本部门所有收入和支出均纳入部门预算管理，无下级预算单位。收入包括：财政拨款收入518.1万元；支出包括：商品和服务支出518.1万元。全部为一般公共预算收支，无政府性基金预算收支，无国有资本经营预算收支。比</w:t>
      </w:r>
      <w:r>
        <w:rPr>
          <w:rFonts w:ascii="仿宋" w:hAnsi="仿宋" w:eastAsia="仿宋" w:cs="仿宋"/>
          <w:color w:val="000000"/>
          <w:kern w:val="0"/>
          <w:sz w:val="30"/>
          <w:szCs w:val="30"/>
        </w:rPr>
        <w:t>20</w:t>
      </w:r>
      <w:r>
        <w:rPr>
          <w:rFonts w:hint="eastAsia" w:ascii="仿宋" w:hAnsi="仿宋" w:eastAsia="仿宋" w:cs="仿宋"/>
          <w:color w:val="000000"/>
          <w:kern w:val="0"/>
          <w:sz w:val="30"/>
          <w:szCs w:val="30"/>
        </w:rPr>
        <w:t>20年预算数减少152.7万元，其中商品和服务支出减少152.7万元。</w:t>
      </w:r>
    </w:p>
    <w:p w14:paraId="6E31D163">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二、“三公”经费预算情况说明</w:t>
      </w:r>
    </w:p>
    <w:p w14:paraId="57427166">
      <w:pPr>
        <w:spacing w:line="600" w:lineRule="exact"/>
        <w:ind w:firstLine="600" w:firstLineChars="200"/>
        <w:rPr>
          <w:rFonts w:ascii="仿宋" w:hAnsi="仿宋" w:eastAsia="仿宋" w:cs="仿宋"/>
          <w:color w:val="000000"/>
          <w:kern w:val="0"/>
          <w:sz w:val="30"/>
          <w:szCs w:val="30"/>
        </w:rPr>
      </w:pPr>
      <w:r>
        <w:rPr>
          <w:rFonts w:hint="eastAsia" w:ascii="仿宋" w:hAnsi="仿宋" w:eastAsia="仿宋"/>
          <w:sz w:val="30"/>
          <w:szCs w:val="30"/>
        </w:rPr>
        <w:t>无“三公”经费支出，</w:t>
      </w:r>
      <w:r>
        <w:rPr>
          <w:rFonts w:hint="eastAsia" w:ascii="仿宋" w:hAnsi="仿宋" w:eastAsia="仿宋"/>
          <w:kern w:val="0"/>
          <w:sz w:val="30"/>
          <w:szCs w:val="30"/>
        </w:rPr>
        <w:t>与去年相同</w:t>
      </w:r>
      <w:r>
        <w:rPr>
          <w:rFonts w:hint="eastAsia" w:ascii="仿宋" w:hAnsi="仿宋" w:eastAsia="仿宋" w:cs="仿宋"/>
          <w:color w:val="000000"/>
          <w:kern w:val="0"/>
          <w:sz w:val="30"/>
          <w:szCs w:val="30"/>
        </w:rPr>
        <w:t>。</w:t>
      </w:r>
      <w:r>
        <w:rPr>
          <w:rFonts w:ascii="仿宋" w:hAnsi="仿宋" w:eastAsia="仿宋" w:cs="仿宋"/>
          <w:color w:val="000000"/>
          <w:kern w:val="0"/>
          <w:sz w:val="30"/>
          <w:szCs w:val="30"/>
        </w:rPr>
        <w:t>主要是按照中央及市委、市政府关于厉行节约、改进工作作风、密切联系群众</w:t>
      </w:r>
      <w:r>
        <w:rPr>
          <w:rFonts w:hint="eastAsia" w:ascii="仿宋" w:hAnsi="仿宋" w:eastAsia="仿宋" w:cs="仿宋"/>
          <w:color w:val="000000"/>
          <w:kern w:val="0"/>
          <w:sz w:val="30"/>
          <w:szCs w:val="30"/>
          <w:lang w:eastAsia="zh-CN"/>
        </w:rPr>
        <w:t>中央八项规定</w:t>
      </w:r>
      <w:r>
        <w:rPr>
          <w:rFonts w:ascii="仿宋" w:hAnsi="仿宋" w:eastAsia="仿宋" w:cs="仿宋"/>
          <w:color w:val="000000"/>
          <w:kern w:val="0"/>
          <w:sz w:val="30"/>
          <w:szCs w:val="30"/>
        </w:rPr>
        <w:t>等有关要求，严格控制“三公”经费支出</w:t>
      </w:r>
      <w:r>
        <w:rPr>
          <w:rFonts w:hint="eastAsia" w:ascii="仿宋" w:hAnsi="仿宋" w:eastAsia="仿宋" w:cs="仿宋"/>
          <w:color w:val="000000"/>
          <w:kern w:val="0"/>
          <w:sz w:val="30"/>
          <w:szCs w:val="30"/>
        </w:rPr>
        <w:t>。</w:t>
      </w:r>
    </w:p>
    <w:p w14:paraId="7BA0622F">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三、机关运行经费安排情况说明</w:t>
      </w:r>
    </w:p>
    <w:p w14:paraId="67F63C8E">
      <w:pPr>
        <w:widowControl/>
        <w:spacing w:line="330" w:lineRule="atLeast"/>
        <w:ind w:firstLine="600" w:firstLineChars="200"/>
        <w:jc w:val="left"/>
        <w:rPr>
          <w:rFonts w:ascii="仿宋" w:hAnsi="仿宋" w:eastAsia="仿宋" w:cs="Verdana"/>
          <w:color w:val="000000"/>
          <w:kern w:val="0"/>
          <w:sz w:val="30"/>
          <w:szCs w:val="30"/>
        </w:rPr>
      </w:pPr>
      <w:r>
        <w:rPr>
          <w:rFonts w:ascii="仿宋" w:hAnsi="仿宋" w:eastAsia="仿宋" w:cs="Verdana"/>
          <w:color w:val="000000"/>
          <w:kern w:val="0"/>
          <w:sz w:val="30"/>
          <w:szCs w:val="30"/>
        </w:rPr>
        <w:t>机关运行经费</w:t>
      </w:r>
      <w:r>
        <w:rPr>
          <w:rFonts w:hint="eastAsia" w:ascii="仿宋" w:hAnsi="仿宋" w:eastAsia="仿宋" w:cs="Verdana"/>
          <w:color w:val="000000"/>
          <w:kern w:val="0"/>
          <w:sz w:val="30"/>
          <w:szCs w:val="30"/>
        </w:rPr>
        <w:t>包括定额公用经费44.1万元</w:t>
      </w:r>
      <w:r>
        <w:rPr>
          <w:rFonts w:ascii="仿宋" w:hAnsi="仿宋" w:eastAsia="仿宋" w:cs="Verdana"/>
          <w:color w:val="000000"/>
          <w:kern w:val="0"/>
          <w:sz w:val="30"/>
          <w:szCs w:val="30"/>
        </w:rPr>
        <w:t>、</w:t>
      </w:r>
      <w:r>
        <w:rPr>
          <w:rFonts w:hint="eastAsia" w:ascii="仿宋" w:hAnsi="仿宋" w:eastAsia="仿宋" w:cs="Verdana"/>
          <w:color w:val="000000"/>
          <w:kern w:val="0"/>
          <w:sz w:val="30"/>
          <w:szCs w:val="30"/>
        </w:rPr>
        <w:t>水电费6.6万元、办公用房取暖费7.4万元</w:t>
      </w:r>
      <w:r>
        <w:rPr>
          <w:rFonts w:ascii="仿宋" w:hAnsi="仿宋" w:eastAsia="仿宋" w:cs="Verdana"/>
          <w:color w:val="000000"/>
          <w:kern w:val="0"/>
          <w:sz w:val="30"/>
          <w:szCs w:val="30"/>
        </w:rPr>
        <w:t>。</w:t>
      </w:r>
    </w:p>
    <w:p w14:paraId="25002683">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四、政府采购情况说明</w:t>
      </w:r>
    </w:p>
    <w:p w14:paraId="37B05732">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无政府采购事项。</w:t>
      </w:r>
    </w:p>
    <w:p w14:paraId="23C0E6C3">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五、政府性基金收支预算情况</w:t>
      </w:r>
    </w:p>
    <w:p w14:paraId="6834F845">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无政府性基金预算收支。</w:t>
      </w:r>
    </w:p>
    <w:p w14:paraId="332EBFD9">
      <w:pPr>
        <w:spacing w:line="330" w:lineRule="atLeas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六、国有资产占有使用情况说明</w:t>
      </w:r>
    </w:p>
    <w:p w14:paraId="70C42383">
      <w:pPr>
        <w:spacing w:line="330" w:lineRule="atLeas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国有资产占有使用情况说明为：截至2020年12月31日，部门（单位）共有车辆0辆；单位价值50万元（含）以上通用设备0台（套）；单位价值100万元以上专用设备0台（套）。</w:t>
      </w:r>
    </w:p>
    <w:p w14:paraId="3AB30439">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七、预算绩效管理情况</w:t>
      </w:r>
    </w:p>
    <w:p w14:paraId="570A4CE4">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本部门2021年未安排项目支出，故未设置绩效目标。</w:t>
      </w:r>
    </w:p>
    <w:p w14:paraId="7C7ABD3C">
      <w:pPr>
        <w:widowControl/>
        <w:spacing w:line="330" w:lineRule="atLeast"/>
        <w:ind w:firstLine="600" w:firstLineChars="200"/>
        <w:jc w:val="left"/>
        <w:rPr>
          <w:rFonts w:ascii="仿宋" w:hAnsi="仿宋" w:eastAsia="仿宋" w:cs="Verdana"/>
          <w:color w:val="000000"/>
          <w:sz w:val="30"/>
          <w:szCs w:val="30"/>
        </w:rPr>
      </w:pPr>
      <w:r>
        <w:rPr>
          <w:rFonts w:hint="eastAsia" w:ascii="仿宋" w:hAnsi="仿宋" w:eastAsia="仿宋" w:cs="Verdana"/>
          <w:color w:val="000000"/>
          <w:sz w:val="30"/>
          <w:szCs w:val="30"/>
        </w:rPr>
        <w:t>八、</w:t>
      </w:r>
      <w:r>
        <w:rPr>
          <w:rFonts w:hint="eastAsia" w:ascii="仿宋" w:hAnsi="仿宋" w:eastAsia="仿宋" w:cs="仿宋"/>
          <w:color w:val="000000"/>
          <w:kern w:val="0"/>
          <w:sz w:val="30"/>
          <w:szCs w:val="30"/>
        </w:rPr>
        <w:t>项目情况</w:t>
      </w:r>
    </w:p>
    <w:p w14:paraId="0DA24C71">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本部门2021年未安排项目支出。</w:t>
      </w:r>
    </w:p>
    <w:p w14:paraId="3FF2BDF9">
      <w:pPr>
        <w:widowControl/>
        <w:spacing w:line="330" w:lineRule="atLeast"/>
        <w:jc w:val="left"/>
        <w:rPr>
          <w:rFonts w:ascii="仿宋" w:hAnsi="仿宋" w:eastAsia="仿宋" w:cs="仿宋"/>
          <w:color w:val="000000"/>
          <w:kern w:val="0"/>
          <w:sz w:val="30"/>
          <w:szCs w:val="30"/>
        </w:rPr>
      </w:pPr>
    </w:p>
    <w:p w14:paraId="4B5654BD">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第三部分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名词解释</w:t>
      </w:r>
    </w:p>
    <w:p w14:paraId="65B2ED8F">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w:t>
      </w:r>
      <w:r>
        <w:rPr>
          <w:rFonts w:hint="eastAsia" w:ascii="仿宋" w:hAnsi="仿宋" w:eastAsia="仿宋" w:cs="仿宋"/>
          <w:color w:val="000000"/>
          <w:kern w:val="0"/>
          <w:sz w:val="30"/>
          <w:szCs w:val="30"/>
        </w:rPr>
        <w:t>财政拨款收入：指市财政当年拨付的资金。</w:t>
      </w:r>
      <w:r>
        <w:rPr>
          <w:rFonts w:ascii="仿宋" w:hAnsi="仿宋" w:eastAsia="仿宋" w:cs="仿宋"/>
          <w:color w:val="000000"/>
          <w:kern w:val="0"/>
          <w:sz w:val="30"/>
          <w:szCs w:val="30"/>
        </w:rPr>
        <w:t xml:space="preserve"> </w:t>
      </w:r>
    </w:p>
    <w:p w14:paraId="55BE687F">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2.</w:t>
      </w:r>
      <w:r>
        <w:rPr>
          <w:rFonts w:hint="eastAsia" w:ascii="仿宋" w:hAnsi="仿宋" w:eastAsia="仿宋" w:cs="仿宋"/>
          <w:color w:val="000000"/>
          <w:kern w:val="0"/>
          <w:sz w:val="30"/>
          <w:szCs w:val="30"/>
        </w:rPr>
        <w:t>其他收入：指除“财政拨款收入”、“财政专户拨款收入”等以外的收入，包括事业单位经营性收入、上级补助收入、附属单位上缴收入等。</w:t>
      </w:r>
    </w:p>
    <w:p w14:paraId="4773E6FD">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3.</w:t>
      </w:r>
      <w:r>
        <w:rPr>
          <w:rFonts w:hint="eastAsia" w:ascii="仿宋" w:hAnsi="仿宋" w:eastAsia="仿宋" w:cs="仿宋"/>
          <w:color w:val="000000"/>
          <w:kern w:val="0"/>
          <w:sz w:val="30"/>
          <w:szCs w:val="30"/>
        </w:rPr>
        <w:t>基本支出：指为保障机构正常运转、完成日常工作任务而发生的人员支出和公用支出。</w:t>
      </w:r>
    </w:p>
    <w:p w14:paraId="1DA1D422">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4.</w:t>
      </w:r>
      <w:r>
        <w:rPr>
          <w:rFonts w:hint="eastAsia" w:ascii="仿宋" w:hAnsi="仿宋" w:eastAsia="仿宋" w:cs="仿宋"/>
          <w:color w:val="000000"/>
          <w:kern w:val="0"/>
          <w:sz w:val="30"/>
          <w:szCs w:val="30"/>
        </w:rPr>
        <w:t>项目支出：指在基本支出之外为完成特定行政任务和事业发展目标所发生的支出。</w:t>
      </w:r>
    </w:p>
    <w:p w14:paraId="10B2D996">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5.</w:t>
      </w:r>
      <w:r>
        <w:rPr>
          <w:rFonts w:hint="eastAsia" w:ascii="仿宋" w:hAnsi="仿宋" w:eastAsia="仿宋" w:cs="仿宋"/>
          <w:color w:val="000000"/>
          <w:kern w:val="0"/>
          <w:sz w:val="30"/>
          <w:szCs w:val="30"/>
        </w:rPr>
        <w:t>“三公”经费：指用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14:paraId="3A430A62">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6.</w:t>
      </w:r>
      <w:r>
        <w:rPr>
          <w:rFonts w:hint="eastAsia" w:ascii="仿宋" w:hAnsi="仿宋" w:eastAsia="仿宋" w:cs="仿宋"/>
          <w:color w:val="000000"/>
          <w:kern w:val="0"/>
          <w:sz w:val="30"/>
          <w:szCs w:val="30"/>
        </w:rPr>
        <w:t>一般公共服务（类）财政事务（款）行政运行（项）：反映行政单位（包括实行公务员管理的事业单位）的基本支出。</w:t>
      </w:r>
    </w:p>
    <w:p w14:paraId="522AD4D2">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7.</w:t>
      </w:r>
      <w:r>
        <w:rPr>
          <w:rFonts w:hint="eastAsia" w:ascii="仿宋" w:hAnsi="仿宋" w:eastAsia="仿宋" w:cs="仿宋"/>
          <w:color w:val="000000"/>
          <w:kern w:val="0"/>
          <w:sz w:val="30"/>
          <w:szCs w:val="30"/>
        </w:rPr>
        <w:t>一般公共服务（类）财政事务（款）一般行政管理事务（项）：反映行政单位（包括实行公务员管理的事业单位）未单独设置项级科目的其他项目支出。</w:t>
      </w:r>
    </w:p>
    <w:p w14:paraId="1AB3185C">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8</w:t>
      </w:r>
      <w:r>
        <w:rPr>
          <w:rFonts w:hint="eastAsia" w:ascii="仿宋" w:hAnsi="仿宋" w:eastAsia="仿宋" w:cs="仿宋"/>
          <w:color w:val="000000"/>
          <w:kern w:val="0"/>
          <w:sz w:val="30"/>
          <w:szCs w:val="30"/>
        </w:rPr>
        <w:t>一般公共服务（类）财政事务（款）信息化建设（项）：反映财政部门用于“金财工程”等信息化建设方面的支出。</w:t>
      </w:r>
    </w:p>
    <w:p w14:paraId="5884304E">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9.</w:t>
      </w:r>
      <w:r>
        <w:rPr>
          <w:rFonts w:hint="eastAsia" w:ascii="仿宋" w:hAnsi="仿宋" w:eastAsia="仿宋" w:cs="仿宋"/>
          <w:color w:val="000000"/>
          <w:kern w:val="0"/>
          <w:sz w:val="30"/>
          <w:szCs w:val="30"/>
        </w:rPr>
        <w:t>一般公共服务（类）财政事务（款）财政委托业务支出（项）：反映财政委托评审机构进行财政投资评审和委托建设银行等机构代理业务发生的支出。</w:t>
      </w:r>
    </w:p>
    <w:p w14:paraId="46E8AF5B">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10. </w:t>
      </w:r>
      <w:r>
        <w:rPr>
          <w:rFonts w:hint="eastAsia" w:ascii="仿宋" w:hAnsi="仿宋" w:eastAsia="仿宋" w:cs="仿宋"/>
          <w:color w:val="000000"/>
          <w:kern w:val="0"/>
          <w:sz w:val="30"/>
          <w:szCs w:val="30"/>
        </w:rPr>
        <w:t>一般公共服务（类）财政事务（款）事业运行（项）：反映事业单位的基本支出，不包括行政单位（包括实行公务员管理的事业单位）后勤服务中心、医务室等附属事业单位。</w:t>
      </w:r>
    </w:p>
    <w:p w14:paraId="75C349DD">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11. </w:t>
      </w:r>
      <w:r>
        <w:rPr>
          <w:rFonts w:hint="eastAsia" w:ascii="仿宋" w:hAnsi="仿宋" w:eastAsia="仿宋" w:cs="仿宋"/>
          <w:color w:val="000000"/>
          <w:kern w:val="0"/>
          <w:sz w:val="30"/>
          <w:szCs w:val="30"/>
        </w:rPr>
        <w:t>一般公共服务（类）财政事务（款）其他财政事务支出（项）：反映其他财政事务方面的支出。</w:t>
      </w:r>
    </w:p>
    <w:p w14:paraId="3D7B16A7">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12</w:t>
      </w:r>
      <w:r>
        <w:rPr>
          <w:rFonts w:hint="eastAsia" w:ascii="仿宋" w:hAnsi="仿宋" w:eastAsia="仿宋" w:cs="仿宋"/>
          <w:color w:val="000000"/>
          <w:kern w:val="0"/>
          <w:sz w:val="30"/>
          <w:szCs w:val="30"/>
        </w:rPr>
        <w:t>．教育支出（类）其他教育支出（款）其他教育支出（项）：反映其他用于教育方面的支出。</w:t>
      </w:r>
    </w:p>
    <w:p w14:paraId="579AC9FC">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13. </w:t>
      </w:r>
      <w:r>
        <w:rPr>
          <w:rFonts w:hint="eastAsia" w:ascii="仿宋" w:hAnsi="仿宋" w:eastAsia="仿宋" w:cs="仿宋"/>
          <w:color w:val="000000"/>
          <w:kern w:val="0"/>
          <w:sz w:val="30"/>
          <w:szCs w:val="30"/>
        </w:rPr>
        <w:t>社会保障和就业（类）行政事业单位离退休（款）归口管理的行政单位离退休（项）：反映实行归口管理的行政单位（包括实行公务员管理的事业单位）开支的离退休经费。</w:t>
      </w:r>
    </w:p>
    <w:p w14:paraId="45A96D2A">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14. </w:t>
      </w:r>
      <w:r>
        <w:rPr>
          <w:rFonts w:hint="eastAsia" w:ascii="仿宋" w:hAnsi="仿宋" w:eastAsia="仿宋" w:cs="仿宋"/>
          <w:color w:val="000000"/>
          <w:kern w:val="0"/>
          <w:sz w:val="30"/>
          <w:szCs w:val="30"/>
        </w:rPr>
        <w:t>社会保障和就业（类）行政事业单位离退休（款）机关事业单位基本养老保险缴费支出（项）：反映机关事业单位实施养老保险制度由单位缴纳的基本养老保险费支出。</w:t>
      </w:r>
    </w:p>
    <w:p w14:paraId="3D90EAB1">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15.</w:t>
      </w:r>
      <w:r>
        <w:rPr>
          <w:rFonts w:hint="eastAsia" w:ascii="仿宋" w:hAnsi="仿宋" w:eastAsia="仿宋" w:cs="仿宋"/>
          <w:color w:val="000000"/>
          <w:kern w:val="0"/>
          <w:sz w:val="30"/>
          <w:szCs w:val="30"/>
        </w:rPr>
        <w:t>医疗卫生与计划生育（类）医疗保障（款）行政单位医疗（项）：反映财政部门集中安排的行政单位基本医疗保险缴费经费，未参加医疗保险的行政单位的公费医疗经费，按国家规定享受离休人员、红军老战士待遇人员的医疗经费。</w:t>
      </w:r>
    </w:p>
    <w:p w14:paraId="4FA2AB79">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16.</w:t>
      </w:r>
      <w:r>
        <w:rPr>
          <w:rFonts w:hint="eastAsia" w:ascii="仿宋" w:hAnsi="仿宋" w:eastAsia="仿宋" w:cs="仿宋"/>
          <w:color w:val="000000"/>
          <w:kern w:val="0"/>
          <w:sz w:val="30"/>
          <w:szCs w:val="30"/>
        </w:rPr>
        <w:t>医疗卫生与计划生育（类）医疗保障（款）事业单位医疗（项）：反映财政部门集中安排的事业单位基本医疗保险缴费经费，未参加医疗保险的事业单位的公费医疗经费，按国家规定享受离休人员待遇人员的医疗经费。</w:t>
      </w:r>
    </w:p>
    <w:p w14:paraId="3009EE84">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17.</w:t>
      </w:r>
      <w:r>
        <w:rPr>
          <w:rFonts w:hint="eastAsia" w:ascii="仿宋" w:hAnsi="仿宋" w:eastAsia="仿宋" w:cs="仿宋"/>
          <w:color w:val="000000"/>
          <w:kern w:val="0"/>
          <w:sz w:val="30"/>
          <w:szCs w:val="30"/>
        </w:rPr>
        <w:t>住房保障（类）住房改革（款）住房公积金（项）：反映行政事业单位按人力资源和社会保障部、财政部规定的基本工资和津贴补贴以及规定比例为职工缴纳的住房公积金。</w:t>
      </w:r>
    </w:p>
    <w:p w14:paraId="1DE5EAC3">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18.</w:t>
      </w:r>
      <w:r>
        <w:rPr>
          <w:rFonts w:hint="eastAsia" w:ascii="仿宋" w:hAnsi="仿宋" w:eastAsia="仿宋" w:cs="仿宋"/>
          <w:color w:val="000000"/>
          <w:kern w:val="0"/>
          <w:sz w:val="30"/>
          <w:szCs w:val="30"/>
        </w:rPr>
        <w:t>机关运行经费。是指各部门的公用经费，包括办公及印刷费、邮电费、会议费、福利费、日常维修费、专用材料及一般设备购置费、办公用房水电费、办公用房取暖费、办公用房物业管理费、公务用车运行维护费以及其他费用。</w:t>
      </w:r>
    </w:p>
    <w:p w14:paraId="6AF48AC0">
      <w:pPr>
        <w:widowControl/>
        <w:spacing w:line="330" w:lineRule="atLeast"/>
        <w:ind w:firstLine="600" w:firstLineChars="200"/>
        <w:jc w:val="left"/>
        <w:rPr>
          <w:rFonts w:ascii="仿宋" w:hAnsi="仿宋" w:eastAsia="仿宋" w:cs="仿宋"/>
          <w:color w:val="000000"/>
          <w:kern w:val="0"/>
          <w:sz w:val="30"/>
          <w:szCs w:val="30"/>
        </w:rPr>
      </w:pPr>
    </w:p>
    <w:p w14:paraId="19CEBF46">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                                 202</w:t>
      </w:r>
      <w:r>
        <w:rPr>
          <w:rFonts w:hint="eastAsia" w:ascii="仿宋" w:hAnsi="仿宋" w:eastAsia="仿宋" w:cs="仿宋"/>
          <w:color w:val="000000"/>
          <w:kern w:val="0"/>
          <w:sz w:val="30"/>
          <w:szCs w:val="30"/>
        </w:rPr>
        <w:t>1年2月27日</w:t>
      </w:r>
    </w:p>
    <w:p w14:paraId="46C7280E">
      <w:pPr>
        <w:widowControl/>
        <w:spacing w:line="330" w:lineRule="atLeast"/>
        <w:ind w:firstLine="600" w:firstLineChars="200"/>
        <w:jc w:val="left"/>
        <w:rPr>
          <w:rFonts w:ascii="仿宋" w:hAnsi="仿宋" w:eastAsia="仿宋" w:cs="仿宋"/>
          <w:color w:val="000000"/>
          <w:kern w:val="0"/>
          <w:sz w:val="30"/>
          <w:szCs w:val="30"/>
        </w:rPr>
      </w:pPr>
    </w:p>
    <w:sectPr>
      <w:footerReference r:id="rId3" w:type="default"/>
      <w:footerReference r:id="rId4" w:type="even"/>
      <w:pgSz w:w="11906" w:h="16838"/>
      <w:pgMar w:top="1531" w:right="1797" w:bottom="1134"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Arial Unicode MS">
    <w:altName w:val="Arial"/>
    <w:panose1 w:val="00000000000000000000"/>
    <w:charset w:val="00"/>
    <w:family w:val="auto"/>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1D171C">
    <w:pPr>
      <w:pStyle w:val="2"/>
      <w:framePr w:wrap="around" w:vAnchor="text" w:hAnchor="margin" w:xAlign="center" w:y="1"/>
      <w:rPr>
        <w:rStyle w:val="6"/>
      </w:rPr>
    </w:pPr>
    <w:r>
      <w:rPr>
        <w:rStyle w:val="6"/>
      </w:rPr>
      <w:fldChar w:fldCharType="begin"/>
    </w:r>
    <w:r>
      <w:rPr>
        <w:rStyle w:val="6"/>
      </w:rPr>
      <w:instrText xml:space="preserve">PAGE  </w:instrText>
    </w:r>
    <w:r>
      <w:rPr>
        <w:rStyle w:val="6"/>
      </w:rPr>
      <w:fldChar w:fldCharType="separate"/>
    </w:r>
    <w:r>
      <w:rPr>
        <w:rStyle w:val="6"/>
      </w:rPr>
      <w:t>1</w:t>
    </w:r>
    <w:r>
      <w:rPr>
        <w:rStyle w:val="6"/>
      </w:rPr>
      <w:fldChar w:fldCharType="end"/>
    </w:r>
  </w:p>
  <w:p w14:paraId="35E740AB">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B6129E">
    <w:pPr>
      <w:pStyle w:val="2"/>
      <w:framePr w:wrap="around" w:vAnchor="text" w:hAnchor="margin" w:xAlign="center" w:y="1"/>
      <w:rPr>
        <w:rStyle w:val="6"/>
      </w:rPr>
    </w:pPr>
    <w:r>
      <w:rPr>
        <w:rStyle w:val="6"/>
      </w:rPr>
      <w:fldChar w:fldCharType="begin"/>
    </w:r>
    <w:r>
      <w:rPr>
        <w:rStyle w:val="6"/>
      </w:rPr>
      <w:instrText xml:space="preserve">PAGE  </w:instrText>
    </w:r>
    <w:r>
      <w:rPr>
        <w:rStyle w:val="6"/>
      </w:rPr>
      <w:fldChar w:fldCharType="end"/>
    </w:r>
  </w:p>
  <w:p w14:paraId="5C4A13C4">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NotTrackMoves/>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01060"/>
    <w:rsid w:val="000130C2"/>
    <w:rsid w:val="00016264"/>
    <w:rsid w:val="00017B87"/>
    <w:rsid w:val="00022B54"/>
    <w:rsid w:val="0003365D"/>
    <w:rsid w:val="00037938"/>
    <w:rsid w:val="00045CEA"/>
    <w:rsid w:val="00066F30"/>
    <w:rsid w:val="000A55C1"/>
    <w:rsid w:val="000B0B2B"/>
    <w:rsid w:val="000B779F"/>
    <w:rsid w:val="000C6D05"/>
    <w:rsid w:val="000E4987"/>
    <w:rsid w:val="000E6C93"/>
    <w:rsid w:val="000E7D75"/>
    <w:rsid w:val="000F2113"/>
    <w:rsid w:val="000F7EC7"/>
    <w:rsid w:val="00101BE5"/>
    <w:rsid w:val="00104AD4"/>
    <w:rsid w:val="0010550E"/>
    <w:rsid w:val="00105E0D"/>
    <w:rsid w:val="00122ACC"/>
    <w:rsid w:val="00150877"/>
    <w:rsid w:val="0015229E"/>
    <w:rsid w:val="00157953"/>
    <w:rsid w:val="00161209"/>
    <w:rsid w:val="00161D59"/>
    <w:rsid w:val="00164A2E"/>
    <w:rsid w:val="00165857"/>
    <w:rsid w:val="00170E0A"/>
    <w:rsid w:val="0018102F"/>
    <w:rsid w:val="00187190"/>
    <w:rsid w:val="00195C8B"/>
    <w:rsid w:val="001961A4"/>
    <w:rsid w:val="001B4947"/>
    <w:rsid w:val="001C7C21"/>
    <w:rsid w:val="001D2999"/>
    <w:rsid w:val="001D38DC"/>
    <w:rsid w:val="001E3E93"/>
    <w:rsid w:val="001E6730"/>
    <w:rsid w:val="00201EA5"/>
    <w:rsid w:val="00216231"/>
    <w:rsid w:val="00217FEB"/>
    <w:rsid w:val="00224F6B"/>
    <w:rsid w:val="00231125"/>
    <w:rsid w:val="00236F6E"/>
    <w:rsid w:val="00260534"/>
    <w:rsid w:val="00264775"/>
    <w:rsid w:val="00265F8B"/>
    <w:rsid w:val="00276444"/>
    <w:rsid w:val="002777B6"/>
    <w:rsid w:val="00280DEF"/>
    <w:rsid w:val="00286258"/>
    <w:rsid w:val="00297E4B"/>
    <w:rsid w:val="002A3336"/>
    <w:rsid w:val="002B62F5"/>
    <w:rsid w:val="002C2B9F"/>
    <w:rsid w:val="002D1847"/>
    <w:rsid w:val="002D68D6"/>
    <w:rsid w:val="002D7A1C"/>
    <w:rsid w:val="002F31AA"/>
    <w:rsid w:val="002F3A47"/>
    <w:rsid w:val="003003AA"/>
    <w:rsid w:val="00315D51"/>
    <w:rsid w:val="0032565D"/>
    <w:rsid w:val="00331C69"/>
    <w:rsid w:val="00332F75"/>
    <w:rsid w:val="003374E4"/>
    <w:rsid w:val="00337EEC"/>
    <w:rsid w:val="00342DA2"/>
    <w:rsid w:val="003431AF"/>
    <w:rsid w:val="00370937"/>
    <w:rsid w:val="00397456"/>
    <w:rsid w:val="003B50ED"/>
    <w:rsid w:val="003C4CA5"/>
    <w:rsid w:val="003C4F58"/>
    <w:rsid w:val="003C65CD"/>
    <w:rsid w:val="003D1A4F"/>
    <w:rsid w:val="003E105F"/>
    <w:rsid w:val="003E26ED"/>
    <w:rsid w:val="003E3CD6"/>
    <w:rsid w:val="003E61DA"/>
    <w:rsid w:val="003F2AA1"/>
    <w:rsid w:val="003F4DFF"/>
    <w:rsid w:val="003F4F25"/>
    <w:rsid w:val="004115C9"/>
    <w:rsid w:val="004221E9"/>
    <w:rsid w:val="004307FC"/>
    <w:rsid w:val="00485F4D"/>
    <w:rsid w:val="004923E5"/>
    <w:rsid w:val="004A7991"/>
    <w:rsid w:val="004B603D"/>
    <w:rsid w:val="004D7EA6"/>
    <w:rsid w:val="004E350F"/>
    <w:rsid w:val="00502BB0"/>
    <w:rsid w:val="00503BB3"/>
    <w:rsid w:val="00507794"/>
    <w:rsid w:val="00512F6C"/>
    <w:rsid w:val="0052419F"/>
    <w:rsid w:val="00537475"/>
    <w:rsid w:val="0055662E"/>
    <w:rsid w:val="00557BA9"/>
    <w:rsid w:val="00567C7F"/>
    <w:rsid w:val="00576704"/>
    <w:rsid w:val="00592029"/>
    <w:rsid w:val="00592DE2"/>
    <w:rsid w:val="00594FB5"/>
    <w:rsid w:val="005A04CC"/>
    <w:rsid w:val="005C0050"/>
    <w:rsid w:val="005C5ACD"/>
    <w:rsid w:val="005D01A7"/>
    <w:rsid w:val="005D17F2"/>
    <w:rsid w:val="005D42A3"/>
    <w:rsid w:val="005D44C4"/>
    <w:rsid w:val="005D6181"/>
    <w:rsid w:val="005D6799"/>
    <w:rsid w:val="005E5D50"/>
    <w:rsid w:val="005F4DCC"/>
    <w:rsid w:val="005F6310"/>
    <w:rsid w:val="00614500"/>
    <w:rsid w:val="00620092"/>
    <w:rsid w:val="00633E3C"/>
    <w:rsid w:val="006541E5"/>
    <w:rsid w:val="006656D7"/>
    <w:rsid w:val="00666DD9"/>
    <w:rsid w:val="00680054"/>
    <w:rsid w:val="00685E3D"/>
    <w:rsid w:val="00692DD1"/>
    <w:rsid w:val="006952EC"/>
    <w:rsid w:val="006973B4"/>
    <w:rsid w:val="006A63CE"/>
    <w:rsid w:val="006B3DD4"/>
    <w:rsid w:val="006C4418"/>
    <w:rsid w:val="006C5384"/>
    <w:rsid w:val="006D05BE"/>
    <w:rsid w:val="006E5605"/>
    <w:rsid w:val="00720670"/>
    <w:rsid w:val="0075074F"/>
    <w:rsid w:val="00753345"/>
    <w:rsid w:val="00753F26"/>
    <w:rsid w:val="007554B5"/>
    <w:rsid w:val="00755C7B"/>
    <w:rsid w:val="00765393"/>
    <w:rsid w:val="00772D51"/>
    <w:rsid w:val="007805EB"/>
    <w:rsid w:val="0078288B"/>
    <w:rsid w:val="00793572"/>
    <w:rsid w:val="0079575F"/>
    <w:rsid w:val="007971B7"/>
    <w:rsid w:val="007B0D20"/>
    <w:rsid w:val="007B12D0"/>
    <w:rsid w:val="007C5E3C"/>
    <w:rsid w:val="007E5065"/>
    <w:rsid w:val="007F23D9"/>
    <w:rsid w:val="007F5365"/>
    <w:rsid w:val="00817967"/>
    <w:rsid w:val="008207A6"/>
    <w:rsid w:val="0082397E"/>
    <w:rsid w:val="008261A0"/>
    <w:rsid w:val="00826E6F"/>
    <w:rsid w:val="0083747D"/>
    <w:rsid w:val="00852DA7"/>
    <w:rsid w:val="00860B0F"/>
    <w:rsid w:val="008620BC"/>
    <w:rsid w:val="008641D1"/>
    <w:rsid w:val="00883A66"/>
    <w:rsid w:val="008911A5"/>
    <w:rsid w:val="008957F7"/>
    <w:rsid w:val="00896F89"/>
    <w:rsid w:val="008B01B8"/>
    <w:rsid w:val="008B5C35"/>
    <w:rsid w:val="008D5A4C"/>
    <w:rsid w:val="008D5CB1"/>
    <w:rsid w:val="009244A6"/>
    <w:rsid w:val="00941B10"/>
    <w:rsid w:val="00961681"/>
    <w:rsid w:val="009652AA"/>
    <w:rsid w:val="00983BF6"/>
    <w:rsid w:val="009848F0"/>
    <w:rsid w:val="00985D1C"/>
    <w:rsid w:val="009870F9"/>
    <w:rsid w:val="00992DE4"/>
    <w:rsid w:val="009A3E37"/>
    <w:rsid w:val="009B00D7"/>
    <w:rsid w:val="009B2426"/>
    <w:rsid w:val="009E374F"/>
    <w:rsid w:val="009F1015"/>
    <w:rsid w:val="009F229D"/>
    <w:rsid w:val="009F5003"/>
    <w:rsid w:val="00A12672"/>
    <w:rsid w:val="00A150E4"/>
    <w:rsid w:val="00A21D18"/>
    <w:rsid w:val="00A26A44"/>
    <w:rsid w:val="00A3368B"/>
    <w:rsid w:val="00A377FD"/>
    <w:rsid w:val="00A44619"/>
    <w:rsid w:val="00A5261D"/>
    <w:rsid w:val="00A5549A"/>
    <w:rsid w:val="00A70656"/>
    <w:rsid w:val="00A7639E"/>
    <w:rsid w:val="00A804CB"/>
    <w:rsid w:val="00A924A6"/>
    <w:rsid w:val="00AC7B47"/>
    <w:rsid w:val="00AE5383"/>
    <w:rsid w:val="00AE5804"/>
    <w:rsid w:val="00AF15A7"/>
    <w:rsid w:val="00B07BF3"/>
    <w:rsid w:val="00B217F1"/>
    <w:rsid w:val="00B26B3E"/>
    <w:rsid w:val="00B3394E"/>
    <w:rsid w:val="00B40E6C"/>
    <w:rsid w:val="00B41F8E"/>
    <w:rsid w:val="00B42381"/>
    <w:rsid w:val="00B7118F"/>
    <w:rsid w:val="00B959B7"/>
    <w:rsid w:val="00BC543A"/>
    <w:rsid w:val="00BE53AA"/>
    <w:rsid w:val="00BF0D12"/>
    <w:rsid w:val="00C0387D"/>
    <w:rsid w:val="00C052C0"/>
    <w:rsid w:val="00C052EC"/>
    <w:rsid w:val="00C0579C"/>
    <w:rsid w:val="00C236E0"/>
    <w:rsid w:val="00C32200"/>
    <w:rsid w:val="00C32296"/>
    <w:rsid w:val="00C403F4"/>
    <w:rsid w:val="00C52D9E"/>
    <w:rsid w:val="00C67479"/>
    <w:rsid w:val="00C70BE9"/>
    <w:rsid w:val="00C759CC"/>
    <w:rsid w:val="00C82EE1"/>
    <w:rsid w:val="00C83A59"/>
    <w:rsid w:val="00CA2D82"/>
    <w:rsid w:val="00CB1306"/>
    <w:rsid w:val="00CC08D2"/>
    <w:rsid w:val="00CD1F30"/>
    <w:rsid w:val="00CD248C"/>
    <w:rsid w:val="00CD52EE"/>
    <w:rsid w:val="00CE1DCA"/>
    <w:rsid w:val="00CE5F17"/>
    <w:rsid w:val="00CF43DA"/>
    <w:rsid w:val="00D10236"/>
    <w:rsid w:val="00D176CA"/>
    <w:rsid w:val="00D400F0"/>
    <w:rsid w:val="00D42366"/>
    <w:rsid w:val="00D54286"/>
    <w:rsid w:val="00D55814"/>
    <w:rsid w:val="00D62F3D"/>
    <w:rsid w:val="00D674BD"/>
    <w:rsid w:val="00D82E50"/>
    <w:rsid w:val="00D876AC"/>
    <w:rsid w:val="00DA4DBA"/>
    <w:rsid w:val="00DA4EA4"/>
    <w:rsid w:val="00DA6EEC"/>
    <w:rsid w:val="00DC1136"/>
    <w:rsid w:val="00DD605A"/>
    <w:rsid w:val="00DD67CE"/>
    <w:rsid w:val="00DE6394"/>
    <w:rsid w:val="00DF2079"/>
    <w:rsid w:val="00DF3D9D"/>
    <w:rsid w:val="00E041CE"/>
    <w:rsid w:val="00E1310B"/>
    <w:rsid w:val="00E160F9"/>
    <w:rsid w:val="00E22472"/>
    <w:rsid w:val="00E43146"/>
    <w:rsid w:val="00E43359"/>
    <w:rsid w:val="00E454AB"/>
    <w:rsid w:val="00E553CE"/>
    <w:rsid w:val="00E679E1"/>
    <w:rsid w:val="00E7432F"/>
    <w:rsid w:val="00E76A3F"/>
    <w:rsid w:val="00E804EF"/>
    <w:rsid w:val="00E855D8"/>
    <w:rsid w:val="00E85AC0"/>
    <w:rsid w:val="00E93AC3"/>
    <w:rsid w:val="00EA0349"/>
    <w:rsid w:val="00EA15E7"/>
    <w:rsid w:val="00EB0F1B"/>
    <w:rsid w:val="00EB5C07"/>
    <w:rsid w:val="00EB6E55"/>
    <w:rsid w:val="00EC4F04"/>
    <w:rsid w:val="00ED1C1C"/>
    <w:rsid w:val="00EE134B"/>
    <w:rsid w:val="00EF1C21"/>
    <w:rsid w:val="00F01060"/>
    <w:rsid w:val="00F11659"/>
    <w:rsid w:val="00F21544"/>
    <w:rsid w:val="00F24188"/>
    <w:rsid w:val="00F251AC"/>
    <w:rsid w:val="00F51D97"/>
    <w:rsid w:val="00F713C4"/>
    <w:rsid w:val="00F7359C"/>
    <w:rsid w:val="00F76F83"/>
    <w:rsid w:val="00F77299"/>
    <w:rsid w:val="00F816CF"/>
    <w:rsid w:val="00F94B86"/>
    <w:rsid w:val="00FA11DB"/>
    <w:rsid w:val="00FA5DC7"/>
    <w:rsid w:val="00FA6064"/>
    <w:rsid w:val="00FC3253"/>
    <w:rsid w:val="00FC5228"/>
    <w:rsid w:val="00FD042E"/>
    <w:rsid w:val="00FD31AB"/>
    <w:rsid w:val="00FD7251"/>
    <w:rsid w:val="00FE7CC4"/>
    <w:rsid w:val="00FF27E7"/>
    <w:rsid w:val="364F5620"/>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semiHidden="0" w:name="header"/>
    <w:lsdException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uiPriority w:val="99"/>
    <w:pPr>
      <w:tabs>
        <w:tab w:val="center" w:pos="4153"/>
        <w:tab w:val="right" w:pos="8306"/>
      </w:tabs>
      <w:snapToGrid w:val="0"/>
      <w:jc w:val="left"/>
    </w:pPr>
    <w:rPr>
      <w:sz w:val="18"/>
      <w:szCs w:val="18"/>
    </w:rPr>
  </w:style>
  <w:style w:type="paragraph" w:styleId="3">
    <w:name w:val="header"/>
    <w:basedOn w:val="1"/>
    <w:link w:val="7"/>
    <w:uiPriority w:val="99"/>
    <w:pPr>
      <w:pBdr>
        <w:bottom w:val="single" w:color="auto" w:sz="6" w:space="1"/>
      </w:pBdr>
      <w:tabs>
        <w:tab w:val="center" w:pos="4153"/>
        <w:tab w:val="right" w:pos="8306"/>
      </w:tabs>
      <w:snapToGrid w:val="0"/>
      <w:jc w:val="center"/>
    </w:pPr>
    <w:rPr>
      <w:sz w:val="18"/>
      <w:szCs w:val="18"/>
    </w:rPr>
  </w:style>
  <w:style w:type="character" w:styleId="6">
    <w:name w:val="page number"/>
    <w:uiPriority w:val="99"/>
    <w:rPr>
      <w:rFonts w:cs="Times New Roman"/>
    </w:rPr>
  </w:style>
  <w:style w:type="character" w:customStyle="1" w:styleId="7">
    <w:name w:val="页眉 Char"/>
    <w:link w:val="3"/>
    <w:semiHidden/>
    <w:locked/>
    <w:uiPriority w:val="99"/>
    <w:rPr>
      <w:rFonts w:ascii="Times New Roman" w:hAnsi="Times New Roman" w:eastAsia="宋体" w:cs="Times New Roman"/>
      <w:sz w:val="18"/>
      <w:szCs w:val="18"/>
    </w:rPr>
  </w:style>
  <w:style w:type="character" w:customStyle="1" w:styleId="8">
    <w:name w:val="页脚 Char"/>
    <w:link w:val="2"/>
    <w:semiHidden/>
    <w:locked/>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5</Pages>
  <Words>1866</Words>
  <Characters>1943</Characters>
  <Lines>16</Lines>
  <Paragraphs>4</Paragraphs>
  <TotalTime>125</TotalTime>
  <ScaleCrop>false</ScaleCrop>
  <LinksUpToDate>false</LinksUpToDate>
  <CharactersWithSpaces>2210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2018-04-27T03:07:00Z</dcterms:created>
  <dc:creator>Custmor</dc:creator>
  <cp:lastModifiedBy>凉拌明玉子</cp:lastModifiedBy>
  <cp:lastPrinted>2018-04-27T03:41:00Z</cp:lastPrinted>
  <dcterms:modified xsi:type="dcterms:W3CDTF">2025-12-19T08:29:06Z</dcterms:modified>
  <cp:revision>272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eyJoZGlkIjoiNzMzNGFhYTQwZDVjNjVmMDFlMTAxYjIwOTljNDhhZWQiLCJ1c2VySWQiOiIyMDEzOTMzNTkifQ==</vt:lpwstr>
  </property>
  <property fmtid="{D5CDD505-2E9C-101B-9397-08002B2CF9AE}" pid="3" name="KSOProductBuildVer">
    <vt:lpwstr>2052-12.1.0.24034</vt:lpwstr>
  </property>
  <property fmtid="{D5CDD505-2E9C-101B-9397-08002B2CF9AE}" pid="4" name="ICV">
    <vt:lpwstr>8C664B4F53664FFCAFDE381188193171_12</vt:lpwstr>
  </property>
</Properties>
</file>