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D8123C">
      <w:pPr>
        <w:spacing w:line="600" w:lineRule="exact"/>
        <w:rPr>
          <w:rFonts w:ascii="仿宋_GB2312" w:eastAsia="仿宋_GB2312"/>
          <w:sz w:val="32"/>
          <w:szCs w:val="32"/>
        </w:rPr>
      </w:pPr>
      <w:bookmarkStart w:id="2" w:name="_GoBack"/>
      <w:bookmarkEnd w:id="2"/>
    </w:p>
    <w:p w14:paraId="2C6B205D">
      <w:pPr>
        <w:widowControl/>
        <w:spacing w:line="330" w:lineRule="atLeast"/>
        <w:jc w:val="center"/>
        <w:rPr>
          <w:rFonts w:ascii="仿宋" w:hAnsi="仿宋" w:eastAsia="仿宋" w:cs="仿宋"/>
          <w:b/>
          <w:bCs/>
          <w:sz w:val="36"/>
          <w:szCs w:val="36"/>
        </w:rPr>
      </w:pPr>
      <w:r>
        <w:rPr>
          <w:rFonts w:hint="eastAsia" w:ascii="仿宋" w:hAnsi="仿宋" w:eastAsia="仿宋" w:cs="仿宋"/>
          <w:b/>
          <w:bCs/>
          <w:sz w:val="36"/>
          <w:szCs w:val="36"/>
        </w:rPr>
        <w:t>大连高新技术产业园区综合执法中心</w:t>
      </w:r>
    </w:p>
    <w:p w14:paraId="12D03E15">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2022</w:t>
      </w:r>
      <w:r>
        <w:rPr>
          <w:rFonts w:hint="eastAsia" w:ascii="仿宋" w:hAnsi="仿宋" w:eastAsia="仿宋" w:cs="仿宋"/>
          <w:b/>
          <w:bCs/>
          <w:kern w:val="0"/>
          <w:sz w:val="36"/>
          <w:szCs w:val="36"/>
        </w:rPr>
        <w:t>年部门预算</w:t>
      </w:r>
    </w:p>
    <w:p w14:paraId="1CF66BEE">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796FA640">
      <w:pPr>
        <w:widowControl/>
        <w:spacing w:line="64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第一部分</w:t>
      </w:r>
      <w:r>
        <w:rPr>
          <w:rFonts w:ascii="仿宋" w:hAnsi="仿宋" w:eastAsia="仿宋" w:cs="仿宋"/>
          <w:kern w:val="0"/>
          <w:sz w:val="30"/>
          <w:szCs w:val="30"/>
        </w:rPr>
        <w:t xml:space="preserve"> </w:t>
      </w:r>
      <w:r>
        <w:rPr>
          <w:rFonts w:hint="eastAsia" w:ascii="仿宋" w:hAnsi="仿宋" w:eastAsia="仿宋" w:cs="仿宋"/>
          <w:kern w:val="0"/>
          <w:sz w:val="30"/>
          <w:szCs w:val="30"/>
        </w:rPr>
        <w:t>部门概况</w:t>
      </w:r>
    </w:p>
    <w:p w14:paraId="5F322064">
      <w:pPr>
        <w:widowControl/>
        <w:spacing w:line="64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一、主要职责：</w:t>
      </w:r>
    </w:p>
    <w:p w14:paraId="15519CAD">
      <w:pPr>
        <w:spacing w:line="640" w:lineRule="exac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、受行政机关委托，负责辖区林业、水资源、口岸的管理、监督及执法工作；负责劳动保障监察执法工作。</w:t>
      </w:r>
    </w:p>
    <w:p w14:paraId="49055854">
      <w:pPr>
        <w:spacing w:line="640" w:lineRule="exact"/>
        <w:ind w:firstLine="600" w:firstLineChars="200"/>
        <w:rPr>
          <w:rFonts w:ascii="仿宋" w:hAnsi="仿宋" w:eastAsia="仿宋"/>
          <w:sz w:val="30"/>
          <w:szCs w:val="30"/>
        </w:rPr>
      </w:pPr>
      <w:r>
        <w:rPr>
          <w:rFonts w:hint="eastAsia" w:ascii="仿宋" w:hAnsi="仿宋" w:eastAsia="仿宋"/>
          <w:sz w:val="30"/>
          <w:szCs w:val="30"/>
        </w:rPr>
        <w:t>2、受行政机关委托，负责城市市容环境卫生、城市园林绿化、市政基础设施管理、建筑市场中质量监督管理的行政执法工作、负责规划、房地产有关的行政执法工作、智慧城管平台的指挥、调度、协调、监督与考评等工作。</w:t>
      </w:r>
    </w:p>
    <w:p w14:paraId="645476A0">
      <w:pPr>
        <w:spacing w:line="640" w:lineRule="exact"/>
        <w:ind w:firstLine="600" w:firstLineChars="200"/>
        <w:rPr>
          <w:rFonts w:ascii="仿宋" w:hAnsi="仿宋" w:eastAsia="仿宋"/>
          <w:sz w:val="30"/>
          <w:szCs w:val="30"/>
        </w:rPr>
      </w:pPr>
      <w:r>
        <w:rPr>
          <w:rFonts w:hint="eastAsia" w:ascii="仿宋" w:hAnsi="仿宋" w:eastAsia="仿宋"/>
          <w:sz w:val="30"/>
          <w:szCs w:val="30"/>
        </w:rPr>
        <w:t>3、受行政机关委托，负责作业场所职业卫生的监督检查，负责职业病危害项目申报，依法对生产经营单位贯彻执行国家有关法律、法规、规定和标准情况进行监督检查；协助查处职业病危害事故和有关违法违规行为；指导、监督生产经营单位职业卫生培训工作。</w:t>
      </w:r>
    </w:p>
    <w:p w14:paraId="7BF491D7">
      <w:pPr>
        <w:spacing w:line="640" w:lineRule="exact"/>
        <w:ind w:firstLine="600" w:firstLineChars="200"/>
        <w:rPr>
          <w:rFonts w:ascii="仿宋" w:hAnsi="仿宋" w:eastAsia="仿宋"/>
          <w:sz w:val="30"/>
          <w:szCs w:val="30"/>
        </w:rPr>
      </w:pPr>
      <w:r>
        <w:rPr>
          <w:rFonts w:hint="eastAsia" w:ascii="仿宋" w:hAnsi="仿宋" w:eastAsia="仿宋"/>
          <w:sz w:val="30"/>
          <w:szCs w:val="30"/>
        </w:rPr>
        <w:t>4、负责社会事业稽查相关管理工作。</w:t>
      </w:r>
    </w:p>
    <w:p w14:paraId="221BBDBA">
      <w:pPr>
        <w:spacing w:line="640" w:lineRule="exact"/>
        <w:ind w:firstLine="600" w:firstLineChars="200"/>
        <w:rPr>
          <w:rFonts w:ascii="仿宋" w:hAnsi="仿宋" w:eastAsia="仿宋"/>
          <w:sz w:val="30"/>
          <w:szCs w:val="30"/>
        </w:rPr>
      </w:pPr>
      <w:r>
        <w:rPr>
          <w:rFonts w:hint="eastAsia" w:ascii="仿宋" w:hAnsi="仿宋" w:eastAsia="仿宋"/>
          <w:sz w:val="30"/>
          <w:szCs w:val="30"/>
        </w:rPr>
        <w:t>5、负责劳动保障监察相关管理工作。</w:t>
      </w:r>
    </w:p>
    <w:p w14:paraId="68E27CDB">
      <w:pPr>
        <w:spacing w:line="640" w:lineRule="exact"/>
        <w:ind w:firstLine="588" w:firstLineChars="196"/>
        <w:rPr>
          <w:rFonts w:ascii="仿宋" w:hAnsi="仿宋" w:eastAsia="仿宋"/>
          <w:sz w:val="30"/>
          <w:szCs w:val="30"/>
        </w:rPr>
      </w:pPr>
      <w:r>
        <w:rPr>
          <w:rFonts w:hint="eastAsia" w:ascii="仿宋" w:hAnsi="仿宋" w:eastAsia="仿宋"/>
          <w:sz w:val="30"/>
          <w:szCs w:val="30"/>
        </w:rPr>
        <w:t>6、完成区党工委、管委会及上级部门交办的其他任务。</w:t>
      </w:r>
    </w:p>
    <w:p w14:paraId="616D4715">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二、部门预算单位构成</w:t>
      </w:r>
    </w:p>
    <w:p w14:paraId="116A061D">
      <w:pPr>
        <w:widowControl/>
        <w:spacing w:line="330" w:lineRule="atLeast"/>
        <w:ind w:firstLine="600" w:firstLineChars="200"/>
        <w:jc w:val="left"/>
        <w:rPr>
          <w:rFonts w:ascii="仿宋" w:hAnsi="仿宋" w:eastAsia="仿宋" w:cs="Verdana"/>
          <w:kern w:val="0"/>
          <w:sz w:val="30"/>
          <w:szCs w:val="30"/>
        </w:rPr>
      </w:pPr>
      <w:r>
        <w:rPr>
          <w:rFonts w:ascii="仿宋" w:hAnsi="仿宋" w:eastAsia="仿宋" w:cs="Verdana"/>
          <w:kern w:val="0"/>
          <w:sz w:val="30"/>
          <w:szCs w:val="30"/>
        </w:rPr>
        <w:t>20</w:t>
      </w:r>
      <w:r>
        <w:rPr>
          <w:rFonts w:hint="eastAsia" w:ascii="仿宋" w:hAnsi="仿宋" w:eastAsia="仿宋" w:cs="Verdana"/>
          <w:kern w:val="0"/>
          <w:sz w:val="30"/>
          <w:szCs w:val="30"/>
        </w:rPr>
        <w:t>22年综合执法中心部门预算为本部门综合收支计划，无二级单位。</w:t>
      </w:r>
    </w:p>
    <w:p w14:paraId="7D735732">
      <w:pPr>
        <w:spacing w:line="640" w:lineRule="exact"/>
        <w:ind w:firstLine="588" w:firstLineChars="196"/>
        <w:rPr>
          <w:rFonts w:ascii="仿宋" w:hAnsi="仿宋" w:eastAsia="仿宋" w:cs="仿宋"/>
          <w:kern w:val="0"/>
          <w:sz w:val="30"/>
          <w:szCs w:val="30"/>
        </w:rPr>
      </w:pPr>
    </w:p>
    <w:p w14:paraId="2B5E43FF">
      <w:pPr>
        <w:widowControl/>
        <w:spacing w:line="64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第二部分</w:t>
      </w:r>
      <w:r>
        <w:rPr>
          <w:rFonts w:ascii="仿宋" w:hAnsi="仿宋" w:eastAsia="仿宋" w:cs="仿宋"/>
          <w:kern w:val="0"/>
          <w:sz w:val="30"/>
          <w:szCs w:val="30"/>
        </w:rPr>
        <w:t xml:space="preserve"> </w:t>
      </w:r>
      <w:r>
        <w:rPr>
          <w:rFonts w:hint="eastAsia" w:ascii="仿宋" w:hAnsi="仿宋" w:eastAsia="仿宋" w:cs="仿宋"/>
          <w:kern w:val="0"/>
          <w:sz w:val="30"/>
          <w:szCs w:val="30"/>
        </w:rPr>
        <w:t>部门预算情况说明</w:t>
      </w:r>
    </w:p>
    <w:p w14:paraId="72A62FAC">
      <w:pPr>
        <w:widowControl/>
        <w:spacing w:line="640" w:lineRule="exact"/>
        <w:ind w:firstLine="600" w:firstLineChars="200"/>
        <w:jc w:val="left"/>
        <w:rPr>
          <w:rFonts w:ascii="仿宋" w:hAnsi="仿宋" w:eastAsia="仿宋"/>
          <w:sz w:val="30"/>
          <w:szCs w:val="30"/>
        </w:rPr>
      </w:pPr>
      <w:r>
        <w:rPr>
          <w:rFonts w:hint="eastAsia" w:ascii="仿宋" w:hAnsi="仿宋" w:eastAsia="仿宋" w:cs="仿宋"/>
          <w:kern w:val="0"/>
          <w:sz w:val="30"/>
          <w:szCs w:val="30"/>
        </w:rPr>
        <w:t>一、总体说明</w:t>
      </w:r>
    </w:p>
    <w:p w14:paraId="40B0FCE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kern w:val="0"/>
          <w:sz w:val="30"/>
          <w:szCs w:val="30"/>
        </w:rPr>
        <w:t>按照综合预算的原则，本部门所有收入和支出均纳入部门预算管理，无下级预算单位。收入包括：财政拨款收入5,101.5万元；支出包括：</w:t>
      </w:r>
      <w:bookmarkStart w:id="0" w:name="OLE_LINK102"/>
      <w:bookmarkStart w:id="1" w:name="OLE_LINK101"/>
      <w:r>
        <w:rPr>
          <w:rFonts w:hint="eastAsia" w:ascii="仿宋" w:hAnsi="仿宋" w:eastAsia="仿宋" w:cs="仿宋"/>
          <w:kern w:val="0"/>
          <w:sz w:val="30"/>
          <w:szCs w:val="30"/>
        </w:rPr>
        <w:t>工资福利和对个人家庭补助支出1,444.9万元</w:t>
      </w:r>
      <w:bookmarkEnd w:id="0"/>
      <w:bookmarkEnd w:id="1"/>
      <w:r>
        <w:rPr>
          <w:rFonts w:hint="eastAsia" w:ascii="仿宋" w:hAnsi="仿宋" w:eastAsia="仿宋" w:cs="仿宋"/>
          <w:kern w:val="0"/>
          <w:sz w:val="30"/>
          <w:szCs w:val="30"/>
        </w:rPr>
        <w:t>，商品和服务支出3,656.6万元。全部为一般公共预算收支，无政府性基金预算收支，无国有资本经营预算收支。</w:t>
      </w:r>
      <w:r>
        <w:rPr>
          <w:rFonts w:hint="eastAsia" w:ascii="仿宋" w:hAnsi="仿宋" w:eastAsia="仿宋" w:cs="仿宋"/>
          <w:color w:val="000000"/>
          <w:kern w:val="0"/>
          <w:sz w:val="30"/>
          <w:szCs w:val="30"/>
        </w:rPr>
        <w:t>比</w:t>
      </w: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21年预算数增加2,181.3万元，其中工资福利和对个人家庭补助支出减少252.4万元，商品和服务支出增加2,433.7万元。</w:t>
      </w:r>
    </w:p>
    <w:p w14:paraId="30AEC8D4">
      <w:pPr>
        <w:widowControl/>
        <w:spacing w:line="640" w:lineRule="exact"/>
        <w:ind w:firstLine="600" w:firstLineChars="200"/>
        <w:jc w:val="left"/>
        <w:rPr>
          <w:rFonts w:ascii="仿宋" w:hAnsi="仿宋" w:eastAsia="仿宋"/>
          <w:sz w:val="30"/>
          <w:szCs w:val="30"/>
        </w:rPr>
      </w:pPr>
      <w:r>
        <w:rPr>
          <w:rFonts w:hint="eastAsia" w:ascii="仿宋" w:hAnsi="仿宋" w:eastAsia="仿宋" w:cs="仿宋"/>
          <w:kern w:val="0"/>
          <w:sz w:val="30"/>
          <w:szCs w:val="30"/>
        </w:rPr>
        <w:t>二、“三公”经费预算情况说明</w:t>
      </w:r>
    </w:p>
    <w:p w14:paraId="610CEC4D">
      <w:pPr>
        <w:spacing w:line="640" w:lineRule="exact"/>
        <w:ind w:firstLine="600" w:firstLineChars="200"/>
        <w:rPr>
          <w:rFonts w:ascii="仿宋" w:hAnsi="仿宋" w:eastAsia="仿宋"/>
          <w:sz w:val="30"/>
          <w:szCs w:val="30"/>
        </w:rPr>
      </w:pPr>
      <w:r>
        <w:rPr>
          <w:rFonts w:hint="eastAsia" w:ascii="仿宋" w:hAnsi="仿宋" w:eastAsia="仿宋"/>
          <w:sz w:val="30"/>
          <w:szCs w:val="30"/>
        </w:rPr>
        <w:t>无“三公”经费支出。</w:t>
      </w:r>
      <w:r>
        <w:rPr>
          <w:rFonts w:ascii="仿宋" w:hAnsi="仿宋" w:eastAsia="仿宋"/>
          <w:sz w:val="30"/>
          <w:szCs w:val="30"/>
        </w:rPr>
        <w:t>主要是按照中央及市委、市政府关于厉行节约、改进工作作风、</w:t>
      </w:r>
      <w:r>
        <w:rPr>
          <w:rFonts w:ascii="仿宋" w:hAnsi="仿宋" w:eastAsia="仿宋" w:cs="Verdana"/>
          <w:kern w:val="0"/>
          <w:sz w:val="30"/>
          <w:szCs w:val="30"/>
        </w:rPr>
        <w:t>密切联系群众</w:t>
      </w:r>
      <w:r>
        <w:rPr>
          <w:rFonts w:hint="eastAsia" w:ascii="仿宋" w:hAnsi="仿宋" w:eastAsia="仿宋" w:cs="Verdana"/>
          <w:kern w:val="0"/>
          <w:sz w:val="30"/>
          <w:szCs w:val="30"/>
          <w:lang w:eastAsia="zh-CN"/>
        </w:rPr>
        <w:t>中央八项规定</w:t>
      </w:r>
      <w:r>
        <w:rPr>
          <w:rFonts w:ascii="仿宋" w:hAnsi="仿宋" w:eastAsia="仿宋" w:cs="Verdana"/>
          <w:kern w:val="0"/>
          <w:sz w:val="30"/>
          <w:szCs w:val="30"/>
        </w:rPr>
        <w:t>等有关要求，严格控制“三公”经费支出</w:t>
      </w:r>
      <w:r>
        <w:rPr>
          <w:rFonts w:hint="eastAsia" w:ascii="仿宋" w:hAnsi="仿宋" w:eastAsia="仿宋" w:cs="Verdana"/>
          <w:kern w:val="0"/>
          <w:sz w:val="30"/>
          <w:szCs w:val="30"/>
        </w:rPr>
        <w:t>。</w:t>
      </w:r>
    </w:p>
    <w:p w14:paraId="0A8A4EDF">
      <w:pPr>
        <w:widowControl/>
        <w:spacing w:line="640" w:lineRule="exact"/>
        <w:ind w:firstLine="600" w:firstLineChars="200"/>
        <w:jc w:val="left"/>
        <w:rPr>
          <w:rFonts w:ascii="仿宋" w:hAnsi="仿宋" w:eastAsia="仿宋"/>
          <w:sz w:val="30"/>
          <w:szCs w:val="30"/>
        </w:rPr>
      </w:pPr>
      <w:r>
        <w:rPr>
          <w:rFonts w:hint="eastAsia" w:ascii="仿宋" w:hAnsi="仿宋" w:eastAsia="仿宋" w:cs="仿宋"/>
          <w:kern w:val="0"/>
          <w:sz w:val="30"/>
          <w:szCs w:val="30"/>
        </w:rPr>
        <w:t>三、机关运行经费安排情况说明</w:t>
      </w:r>
    </w:p>
    <w:p w14:paraId="254B1FAB">
      <w:pPr>
        <w:widowControl/>
        <w:spacing w:line="640" w:lineRule="exact"/>
        <w:ind w:firstLine="600" w:firstLineChars="200"/>
        <w:jc w:val="left"/>
        <w:rPr>
          <w:rFonts w:ascii="仿宋" w:hAnsi="仿宋" w:eastAsia="仿宋" w:cs="Verdana"/>
          <w:kern w:val="0"/>
          <w:sz w:val="30"/>
          <w:szCs w:val="30"/>
        </w:rPr>
      </w:pPr>
      <w:r>
        <w:rPr>
          <w:rFonts w:ascii="仿宋" w:hAnsi="仿宋" w:eastAsia="仿宋" w:cs="Verdana"/>
          <w:kern w:val="0"/>
          <w:sz w:val="30"/>
          <w:szCs w:val="30"/>
        </w:rPr>
        <w:t>机关运行经费</w:t>
      </w:r>
      <w:r>
        <w:rPr>
          <w:rFonts w:hint="eastAsia" w:ascii="仿宋" w:hAnsi="仿宋" w:eastAsia="仿宋" w:cs="Verdana"/>
          <w:kern w:val="0"/>
          <w:sz w:val="30"/>
          <w:szCs w:val="30"/>
        </w:rPr>
        <w:t>包括定额公用经费63万元</w:t>
      </w:r>
      <w:r>
        <w:rPr>
          <w:rFonts w:ascii="仿宋" w:hAnsi="仿宋" w:eastAsia="仿宋" w:cs="Verdana"/>
          <w:kern w:val="0"/>
          <w:sz w:val="30"/>
          <w:szCs w:val="30"/>
        </w:rPr>
        <w:t>。</w:t>
      </w:r>
    </w:p>
    <w:p w14:paraId="0790B066">
      <w:pPr>
        <w:widowControl/>
        <w:spacing w:line="640" w:lineRule="exact"/>
        <w:ind w:firstLine="600" w:firstLineChars="200"/>
        <w:jc w:val="left"/>
        <w:rPr>
          <w:rFonts w:ascii="仿宋" w:hAnsi="仿宋" w:eastAsia="仿宋"/>
          <w:sz w:val="30"/>
          <w:szCs w:val="30"/>
        </w:rPr>
      </w:pPr>
      <w:r>
        <w:rPr>
          <w:rFonts w:hint="eastAsia" w:ascii="仿宋" w:hAnsi="仿宋" w:eastAsia="仿宋" w:cs="仿宋"/>
          <w:kern w:val="0"/>
          <w:sz w:val="30"/>
          <w:szCs w:val="30"/>
        </w:rPr>
        <w:t>四、政府采购情况说明</w:t>
      </w:r>
    </w:p>
    <w:p w14:paraId="2C13455F">
      <w:pPr>
        <w:widowControl/>
        <w:spacing w:line="640" w:lineRule="exact"/>
        <w:ind w:firstLine="600" w:firstLineChars="200"/>
        <w:jc w:val="left"/>
        <w:rPr>
          <w:rFonts w:ascii="仿宋" w:hAnsi="仿宋" w:eastAsia="仿宋" w:cs="Verdana"/>
          <w:kern w:val="0"/>
          <w:sz w:val="30"/>
          <w:szCs w:val="30"/>
        </w:rPr>
      </w:pPr>
      <w:r>
        <w:rPr>
          <w:rFonts w:hint="eastAsia" w:ascii="仿宋" w:hAnsi="仿宋" w:eastAsia="仿宋" w:cs="Verdana"/>
          <w:kern w:val="0"/>
          <w:sz w:val="30"/>
          <w:szCs w:val="30"/>
        </w:rPr>
        <w:t>2022年本部门政府采购项目9个:</w:t>
      </w:r>
    </w:p>
    <w:p w14:paraId="3BA46D31">
      <w:pPr>
        <w:widowControl/>
        <w:numPr>
          <w:ilvl w:val="0"/>
          <w:numId w:val="1"/>
        </w:numPr>
        <w:spacing w:line="640" w:lineRule="exact"/>
        <w:ind w:firstLine="600" w:firstLineChars="200"/>
        <w:jc w:val="left"/>
        <w:rPr>
          <w:rFonts w:ascii="仿宋" w:hAnsi="仿宋" w:eastAsia="仿宋" w:cs="Verdana"/>
          <w:kern w:val="0"/>
          <w:sz w:val="30"/>
          <w:szCs w:val="30"/>
        </w:rPr>
      </w:pPr>
      <w:r>
        <w:rPr>
          <w:rFonts w:hint="eastAsia" w:ascii="仿宋" w:hAnsi="仿宋" w:eastAsia="仿宋" w:cs="Verdana"/>
          <w:kern w:val="0"/>
          <w:sz w:val="30"/>
          <w:szCs w:val="30"/>
        </w:rPr>
        <w:t>测绘服务采购，采购预算为114万元；</w:t>
      </w:r>
    </w:p>
    <w:p w14:paraId="7746AA47">
      <w:pPr>
        <w:widowControl/>
        <w:numPr>
          <w:ilvl w:val="0"/>
          <w:numId w:val="1"/>
        </w:numPr>
        <w:spacing w:line="640" w:lineRule="exact"/>
        <w:ind w:firstLine="600" w:firstLineChars="200"/>
        <w:jc w:val="left"/>
        <w:rPr>
          <w:rFonts w:ascii="仿宋" w:hAnsi="仿宋" w:eastAsia="仿宋" w:cs="Verdana"/>
          <w:kern w:val="0"/>
          <w:sz w:val="30"/>
          <w:szCs w:val="30"/>
        </w:rPr>
      </w:pPr>
      <w:r>
        <w:rPr>
          <w:rFonts w:ascii="仿宋" w:hAnsi="仿宋" w:eastAsia="仿宋" w:cs="Verdana"/>
          <w:kern w:val="0"/>
          <w:sz w:val="30"/>
          <w:szCs w:val="30"/>
        </w:rPr>
        <w:t>市容整治及违法建设拆除费</w:t>
      </w:r>
      <w:r>
        <w:rPr>
          <w:rFonts w:hint="eastAsia" w:ascii="仿宋" w:hAnsi="仿宋" w:eastAsia="仿宋" w:cs="Verdana"/>
          <w:kern w:val="0"/>
          <w:sz w:val="30"/>
          <w:szCs w:val="30"/>
        </w:rPr>
        <w:t>，采购预算为1500万元；</w:t>
      </w:r>
    </w:p>
    <w:p w14:paraId="0518E7B1">
      <w:pPr>
        <w:widowControl/>
        <w:numPr>
          <w:ilvl w:val="0"/>
          <w:numId w:val="1"/>
        </w:numPr>
        <w:spacing w:line="640" w:lineRule="exact"/>
        <w:ind w:firstLine="600" w:firstLineChars="200"/>
        <w:jc w:val="left"/>
        <w:rPr>
          <w:rFonts w:ascii="仿宋" w:hAnsi="仿宋" w:eastAsia="仿宋" w:cs="Verdana"/>
          <w:kern w:val="0"/>
          <w:sz w:val="30"/>
          <w:szCs w:val="30"/>
        </w:rPr>
      </w:pPr>
      <w:r>
        <w:rPr>
          <w:rFonts w:hint="eastAsia" w:ascii="仿宋" w:hAnsi="仿宋" w:eastAsia="仿宋" w:cs="Verdana"/>
          <w:kern w:val="0"/>
          <w:sz w:val="30"/>
          <w:szCs w:val="30"/>
        </w:rPr>
        <w:t>评估服务采购，采购预算为58.5万元；</w:t>
      </w:r>
    </w:p>
    <w:p w14:paraId="030DF520">
      <w:pPr>
        <w:widowControl/>
        <w:numPr>
          <w:ilvl w:val="0"/>
          <w:numId w:val="1"/>
        </w:numPr>
        <w:spacing w:line="640" w:lineRule="exact"/>
        <w:ind w:firstLine="600" w:firstLineChars="200"/>
        <w:jc w:val="left"/>
        <w:rPr>
          <w:rFonts w:ascii="仿宋" w:hAnsi="仿宋" w:eastAsia="仿宋" w:cs="Verdana"/>
          <w:kern w:val="0"/>
          <w:sz w:val="30"/>
          <w:szCs w:val="30"/>
        </w:rPr>
      </w:pPr>
      <w:r>
        <w:rPr>
          <w:rFonts w:ascii="仿宋" w:hAnsi="仿宋" w:eastAsia="仿宋" w:cs="Verdana"/>
          <w:kern w:val="0"/>
          <w:sz w:val="30"/>
          <w:szCs w:val="30"/>
        </w:rPr>
        <w:t>生态环境监测</w:t>
      </w:r>
      <w:r>
        <w:rPr>
          <w:rFonts w:hint="eastAsia" w:ascii="仿宋" w:hAnsi="仿宋" w:eastAsia="仿宋" w:cs="Verdana"/>
          <w:kern w:val="0"/>
          <w:sz w:val="30"/>
          <w:szCs w:val="30"/>
        </w:rPr>
        <w:t>，采购预算为22.2万元；</w:t>
      </w:r>
    </w:p>
    <w:p w14:paraId="4D544C3B">
      <w:pPr>
        <w:widowControl/>
        <w:numPr>
          <w:ilvl w:val="0"/>
          <w:numId w:val="1"/>
        </w:numPr>
        <w:spacing w:line="640" w:lineRule="exact"/>
        <w:ind w:firstLine="600" w:firstLineChars="200"/>
        <w:jc w:val="left"/>
        <w:rPr>
          <w:rFonts w:ascii="仿宋" w:hAnsi="仿宋" w:eastAsia="仿宋" w:cs="Verdana"/>
          <w:kern w:val="0"/>
          <w:sz w:val="30"/>
          <w:szCs w:val="30"/>
        </w:rPr>
      </w:pPr>
      <w:r>
        <w:rPr>
          <w:rFonts w:ascii="仿宋" w:hAnsi="仿宋" w:eastAsia="仿宋" w:cs="Verdana"/>
          <w:kern w:val="0"/>
          <w:sz w:val="30"/>
          <w:szCs w:val="30"/>
        </w:rPr>
        <w:t>造价审核</w:t>
      </w:r>
      <w:r>
        <w:rPr>
          <w:rFonts w:hint="eastAsia" w:ascii="仿宋" w:hAnsi="仿宋" w:eastAsia="仿宋" w:cs="Verdana"/>
          <w:kern w:val="0"/>
          <w:sz w:val="30"/>
          <w:szCs w:val="30"/>
        </w:rPr>
        <w:t>，采购预算为60.9万元；</w:t>
      </w:r>
    </w:p>
    <w:p w14:paraId="0659ABE5">
      <w:pPr>
        <w:widowControl/>
        <w:numPr>
          <w:ilvl w:val="0"/>
          <w:numId w:val="1"/>
        </w:numPr>
        <w:spacing w:line="640" w:lineRule="exact"/>
        <w:ind w:firstLine="600" w:firstLineChars="200"/>
        <w:jc w:val="left"/>
        <w:rPr>
          <w:rFonts w:ascii="仿宋" w:hAnsi="仿宋" w:eastAsia="仿宋" w:cs="Verdana"/>
          <w:kern w:val="0"/>
          <w:sz w:val="30"/>
          <w:szCs w:val="30"/>
        </w:rPr>
      </w:pPr>
      <w:r>
        <w:rPr>
          <w:rFonts w:ascii="仿宋" w:hAnsi="仿宋" w:eastAsia="仿宋" w:cs="Verdana"/>
          <w:kern w:val="0"/>
          <w:sz w:val="30"/>
          <w:szCs w:val="30"/>
        </w:rPr>
        <w:t>建筑质量检测费</w:t>
      </w:r>
      <w:r>
        <w:rPr>
          <w:rFonts w:hint="eastAsia" w:ascii="仿宋" w:hAnsi="仿宋" w:eastAsia="仿宋" w:cs="Verdana"/>
          <w:kern w:val="0"/>
          <w:sz w:val="30"/>
          <w:szCs w:val="30"/>
        </w:rPr>
        <w:t>，采购预算为54.74万元；</w:t>
      </w:r>
    </w:p>
    <w:p w14:paraId="26D8CD98">
      <w:pPr>
        <w:widowControl/>
        <w:numPr>
          <w:ilvl w:val="0"/>
          <w:numId w:val="1"/>
        </w:numPr>
        <w:spacing w:line="640" w:lineRule="exact"/>
        <w:ind w:firstLine="600" w:firstLineChars="200"/>
        <w:jc w:val="left"/>
        <w:rPr>
          <w:rFonts w:ascii="仿宋" w:hAnsi="仿宋" w:eastAsia="仿宋" w:cs="Verdana"/>
          <w:kern w:val="0"/>
          <w:sz w:val="30"/>
          <w:szCs w:val="30"/>
        </w:rPr>
      </w:pPr>
      <w:r>
        <w:rPr>
          <w:rFonts w:hint="eastAsia" w:ascii="仿宋" w:hAnsi="仿宋" w:eastAsia="仿宋" w:cs="Verdana"/>
          <w:kern w:val="0"/>
          <w:sz w:val="30"/>
          <w:szCs w:val="30"/>
        </w:rPr>
        <w:t>执法车辆租赁服务采购,采购预算为97.48万元。</w:t>
      </w:r>
    </w:p>
    <w:p w14:paraId="38ED99A6">
      <w:pPr>
        <w:widowControl/>
        <w:numPr>
          <w:ilvl w:val="0"/>
          <w:numId w:val="1"/>
        </w:numPr>
        <w:spacing w:line="640" w:lineRule="exact"/>
        <w:ind w:firstLine="600" w:firstLineChars="200"/>
        <w:jc w:val="left"/>
        <w:rPr>
          <w:rFonts w:ascii="仿宋" w:hAnsi="仿宋" w:eastAsia="仿宋" w:cs="Verdana"/>
          <w:kern w:val="0"/>
          <w:sz w:val="30"/>
          <w:szCs w:val="30"/>
        </w:rPr>
      </w:pPr>
      <w:r>
        <w:rPr>
          <w:rFonts w:hint="eastAsia" w:ascii="仿宋" w:hAnsi="仿宋" w:eastAsia="仿宋" w:cs="Verdana"/>
          <w:kern w:val="0"/>
          <w:sz w:val="30"/>
          <w:szCs w:val="30"/>
        </w:rPr>
        <w:t>涉林案件林地现场勘测评估费，采购预算为40.75万元。</w:t>
      </w:r>
    </w:p>
    <w:p w14:paraId="61289E33">
      <w:pPr>
        <w:widowControl/>
        <w:numPr>
          <w:ilvl w:val="0"/>
          <w:numId w:val="1"/>
        </w:numPr>
        <w:spacing w:line="640" w:lineRule="exact"/>
        <w:ind w:firstLine="600" w:firstLineChars="200"/>
        <w:jc w:val="left"/>
        <w:rPr>
          <w:rFonts w:ascii="仿宋" w:hAnsi="仿宋" w:eastAsia="仿宋" w:cs="Verdana"/>
          <w:kern w:val="0"/>
          <w:sz w:val="30"/>
          <w:szCs w:val="30"/>
        </w:rPr>
      </w:pPr>
      <w:r>
        <w:rPr>
          <w:rFonts w:hint="eastAsia" w:ascii="仿宋" w:hAnsi="仿宋" w:eastAsia="仿宋" w:cs="Verdana"/>
          <w:kern w:val="0"/>
          <w:sz w:val="30"/>
          <w:szCs w:val="30"/>
        </w:rPr>
        <w:t>涉林案件确定恢复植被和林业生产条件评估费用，采购预算为50万元。</w:t>
      </w:r>
    </w:p>
    <w:p w14:paraId="7DF9870F">
      <w:pPr>
        <w:widowControl/>
        <w:spacing w:line="64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五、政府性基金收支预算情况</w:t>
      </w:r>
    </w:p>
    <w:p w14:paraId="513F023E">
      <w:pPr>
        <w:widowControl/>
        <w:spacing w:line="64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无政府性基金预算收支。</w:t>
      </w:r>
    </w:p>
    <w:p w14:paraId="767DC6BC">
      <w:pPr>
        <w:spacing w:line="64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六、国有资产占有使用情况说明</w:t>
      </w:r>
    </w:p>
    <w:p w14:paraId="4DC487C7">
      <w:pPr>
        <w:spacing w:line="64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国有资产占有使用情况说明为：截至2021年12月31日，部门（单位）共有车辆0辆；单位价值50万元（含）以上通用设备0台（套）；单位价值100万元以上专用设备0台（套）。</w:t>
      </w:r>
    </w:p>
    <w:p w14:paraId="4DE7DDEC">
      <w:pPr>
        <w:widowControl/>
        <w:spacing w:line="64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七、预算绩效管理情况</w:t>
      </w:r>
    </w:p>
    <w:p w14:paraId="1734BB36">
      <w:pPr>
        <w:spacing w:line="640" w:lineRule="exact"/>
        <w:ind w:firstLine="600" w:firstLineChars="200"/>
        <w:rPr>
          <w:rFonts w:ascii="仿宋" w:hAnsi="仿宋" w:eastAsia="仿宋" w:cs="仿宋"/>
          <w:kern w:val="0"/>
          <w:sz w:val="30"/>
          <w:szCs w:val="30"/>
        </w:rPr>
      </w:pPr>
      <w:r>
        <w:rPr>
          <w:rFonts w:ascii="仿宋" w:hAnsi="仿宋" w:eastAsia="仿宋" w:cs="仿宋"/>
          <w:kern w:val="0"/>
          <w:sz w:val="30"/>
          <w:szCs w:val="30"/>
        </w:rPr>
        <w:t>20</w:t>
      </w:r>
      <w:r>
        <w:rPr>
          <w:rFonts w:hint="eastAsia" w:ascii="仿宋" w:hAnsi="仿宋" w:eastAsia="仿宋" w:cs="仿宋"/>
          <w:kern w:val="0"/>
          <w:sz w:val="30"/>
          <w:szCs w:val="30"/>
        </w:rPr>
        <w:t>22年，按照“先有绩效，后有预算”原则，本部门共计编制绩效目标27个，预算金额2,653.2万元，占项目支出预算比重100</w:t>
      </w:r>
      <w:r>
        <w:rPr>
          <w:rFonts w:ascii="仿宋" w:hAnsi="仿宋" w:eastAsia="仿宋" w:cs="仿宋"/>
          <w:kern w:val="0"/>
          <w:sz w:val="30"/>
          <w:szCs w:val="30"/>
        </w:rPr>
        <w:t>%</w:t>
      </w:r>
      <w:r>
        <w:rPr>
          <w:rFonts w:hint="eastAsia" w:ascii="仿宋" w:hAnsi="仿宋" w:eastAsia="仿宋" w:cs="仿宋"/>
          <w:kern w:val="0"/>
          <w:sz w:val="30"/>
          <w:szCs w:val="30"/>
        </w:rPr>
        <w:t>。</w:t>
      </w:r>
    </w:p>
    <w:p w14:paraId="277CD111">
      <w:pPr>
        <w:spacing w:line="640" w:lineRule="exact"/>
        <w:ind w:left="596" w:leftChars="284"/>
        <w:rPr>
          <w:rFonts w:ascii="仿宋" w:hAnsi="仿宋" w:eastAsia="仿宋" w:cs="仿宋"/>
          <w:kern w:val="0"/>
          <w:sz w:val="30"/>
          <w:szCs w:val="30"/>
        </w:rPr>
      </w:pPr>
      <w:r>
        <w:rPr>
          <w:rFonts w:hint="eastAsia" w:ascii="仿宋" w:hAnsi="仿宋" w:eastAsia="仿宋" w:cs="仿宋"/>
          <w:kern w:val="0"/>
          <w:sz w:val="30"/>
          <w:szCs w:val="30"/>
        </w:rPr>
        <w:t>八、综合执法中心配备执法服装经费项目情况</w:t>
      </w:r>
    </w:p>
    <w:p w14:paraId="5AE2F058">
      <w:pPr>
        <w:spacing w:line="640" w:lineRule="exact"/>
        <w:ind w:firstLine="600" w:firstLineChars="200"/>
        <w:outlineLvl w:val="0"/>
        <w:rPr>
          <w:rFonts w:ascii="仿宋" w:hAnsi="仿宋" w:eastAsia="仿宋" w:cs="仿宋"/>
          <w:kern w:val="0"/>
          <w:sz w:val="30"/>
          <w:szCs w:val="30"/>
        </w:rPr>
      </w:pPr>
      <w:r>
        <w:rPr>
          <w:rFonts w:hint="eastAsia" w:ascii="仿宋" w:hAnsi="仿宋" w:eastAsia="仿宋" w:cs="仿宋"/>
          <w:kern w:val="0"/>
          <w:sz w:val="30"/>
          <w:szCs w:val="30"/>
        </w:rPr>
        <w:t>1.项目</w:t>
      </w:r>
      <w:r>
        <w:rPr>
          <w:rFonts w:ascii="仿宋" w:hAnsi="仿宋" w:eastAsia="仿宋" w:cs="仿宋"/>
          <w:kern w:val="0"/>
          <w:sz w:val="30"/>
          <w:szCs w:val="30"/>
        </w:rPr>
        <w:t>概述</w:t>
      </w:r>
    </w:p>
    <w:p w14:paraId="78CBCD96">
      <w:pPr>
        <w:spacing w:line="640" w:lineRule="exact"/>
        <w:ind w:firstLine="600" w:firstLineChars="200"/>
        <w:outlineLvl w:val="0"/>
        <w:rPr>
          <w:rFonts w:ascii="仿宋" w:hAnsi="仿宋" w:eastAsia="仿宋" w:cs="仿宋"/>
          <w:kern w:val="0"/>
          <w:sz w:val="30"/>
          <w:szCs w:val="30"/>
        </w:rPr>
      </w:pPr>
      <w:r>
        <w:rPr>
          <w:rFonts w:hint="eastAsia" w:ascii="仿宋" w:hAnsi="仿宋" w:eastAsia="仿宋" w:cs="仿宋"/>
          <w:kern w:val="0"/>
          <w:sz w:val="30"/>
          <w:szCs w:val="30"/>
        </w:rPr>
        <w:t>为保障综合执法中心执法工作的顺利开展，全面落实《行政法》、《行政处罚法》等相关法律规范的要求，为全体执法工作人员配备执法服装，提升执法工作水平，保障全区社会和谐稳定。</w:t>
      </w:r>
    </w:p>
    <w:p w14:paraId="49761F7A">
      <w:pPr>
        <w:spacing w:line="64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2.立项依据</w:t>
      </w:r>
    </w:p>
    <w:p w14:paraId="25FC53D4">
      <w:pPr>
        <w:spacing w:line="640" w:lineRule="exact"/>
        <w:ind w:left="160" w:firstLine="450" w:firstLineChars="150"/>
        <w:rPr>
          <w:rFonts w:ascii="仿宋" w:hAnsi="仿宋" w:eastAsia="仿宋" w:cs="仿宋"/>
          <w:kern w:val="0"/>
          <w:sz w:val="30"/>
          <w:szCs w:val="30"/>
        </w:rPr>
      </w:pPr>
      <w:r>
        <w:rPr>
          <w:rFonts w:hint="eastAsia" w:ascii="仿宋" w:hAnsi="仿宋" w:eastAsia="仿宋"/>
          <w:sz w:val="30"/>
          <w:szCs w:val="30"/>
        </w:rPr>
        <w:t>根据《关于印发城市管理执法制式服装和标志标识供应管理办法的通知》（建督【2017】31号）、《卫生部办公厅关于进一步规范卫生监督制、着装管理的通知》（卫办法监发［2003］103号）、《关于统一全市劳动监察执法标志及着装的通知》（大人社发【2014】35号）的相关要求为执法人员配备执法服装。</w:t>
      </w:r>
    </w:p>
    <w:p w14:paraId="31290270">
      <w:pPr>
        <w:spacing w:line="640" w:lineRule="exact"/>
        <w:ind w:firstLine="600" w:firstLineChars="200"/>
        <w:outlineLvl w:val="0"/>
        <w:rPr>
          <w:rFonts w:ascii="仿宋" w:hAnsi="仿宋" w:eastAsia="仿宋" w:cs="仿宋"/>
          <w:kern w:val="0"/>
          <w:sz w:val="30"/>
          <w:szCs w:val="30"/>
        </w:rPr>
      </w:pPr>
      <w:r>
        <w:rPr>
          <w:rFonts w:hint="eastAsia" w:ascii="仿宋" w:hAnsi="仿宋" w:eastAsia="仿宋" w:cs="仿宋"/>
          <w:kern w:val="0"/>
          <w:sz w:val="30"/>
          <w:szCs w:val="30"/>
        </w:rPr>
        <w:t>3.实施</w:t>
      </w:r>
      <w:r>
        <w:rPr>
          <w:rFonts w:ascii="仿宋" w:hAnsi="仿宋" w:eastAsia="仿宋" w:cs="仿宋"/>
          <w:kern w:val="0"/>
          <w:sz w:val="30"/>
          <w:szCs w:val="30"/>
        </w:rPr>
        <w:t>主体</w:t>
      </w:r>
    </w:p>
    <w:p w14:paraId="5D701F34">
      <w:pPr>
        <w:spacing w:line="64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高新区综合执法中心。</w:t>
      </w:r>
    </w:p>
    <w:p w14:paraId="4FD6931F">
      <w:pPr>
        <w:spacing w:line="640" w:lineRule="exact"/>
        <w:ind w:firstLine="600" w:firstLineChars="200"/>
        <w:outlineLvl w:val="0"/>
        <w:rPr>
          <w:rFonts w:ascii="仿宋" w:hAnsi="仿宋" w:eastAsia="仿宋" w:cs="仿宋"/>
          <w:kern w:val="0"/>
          <w:sz w:val="30"/>
          <w:szCs w:val="30"/>
        </w:rPr>
      </w:pPr>
      <w:r>
        <w:rPr>
          <w:rFonts w:hint="eastAsia" w:ascii="仿宋" w:hAnsi="仿宋" w:eastAsia="仿宋" w:cs="仿宋"/>
          <w:kern w:val="0"/>
          <w:sz w:val="30"/>
          <w:szCs w:val="30"/>
        </w:rPr>
        <w:t>4.实施</w:t>
      </w:r>
      <w:r>
        <w:rPr>
          <w:rFonts w:ascii="仿宋" w:hAnsi="仿宋" w:eastAsia="仿宋" w:cs="仿宋"/>
          <w:kern w:val="0"/>
          <w:sz w:val="30"/>
          <w:szCs w:val="30"/>
        </w:rPr>
        <w:t>方案</w:t>
      </w:r>
    </w:p>
    <w:p w14:paraId="499CDC12">
      <w:pPr>
        <w:spacing w:line="640" w:lineRule="exact"/>
        <w:ind w:firstLine="600" w:firstLineChars="200"/>
        <w:rPr>
          <w:rFonts w:ascii="仿宋" w:hAnsi="仿宋" w:eastAsia="仿宋"/>
          <w:sz w:val="30"/>
          <w:szCs w:val="30"/>
        </w:rPr>
      </w:pPr>
      <w:r>
        <w:rPr>
          <w:rFonts w:hint="eastAsia" w:ascii="仿宋" w:hAnsi="仿宋" w:eastAsia="仿宋"/>
          <w:sz w:val="30"/>
          <w:szCs w:val="30"/>
        </w:rPr>
        <w:t>根据《中华人民共和国政府采购法》等有关规定，通过询价等方式，严格履行财务手续，按照《关于印发城市管理执法制式服装和标志标识供应管理办法的通知》（建督【2017】31号）、《卫生部办公厅关于进一步规范卫生监督制、着装管理的通知》（卫办法监发［2003］103号）、《关于统一全市劳动监察执法标志及着装的通知》（大人社发【2014】35号）等文件要求，对所有执法人员配备制式执法服装。</w:t>
      </w:r>
    </w:p>
    <w:p w14:paraId="1A9ED39D">
      <w:pPr>
        <w:spacing w:line="64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5.实施周期</w:t>
      </w:r>
    </w:p>
    <w:p w14:paraId="10E838C5">
      <w:pPr>
        <w:spacing w:line="64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2</w:t>
      </w:r>
      <w:r>
        <w:rPr>
          <w:rFonts w:ascii="仿宋" w:hAnsi="仿宋" w:eastAsia="仿宋" w:cs="仿宋"/>
          <w:kern w:val="0"/>
          <w:sz w:val="30"/>
          <w:szCs w:val="30"/>
        </w:rPr>
        <w:t>02</w:t>
      </w:r>
      <w:r>
        <w:rPr>
          <w:rFonts w:hint="eastAsia" w:ascii="仿宋" w:hAnsi="仿宋" w:eastAsia="仿宋" w:cs="仿宋"/>
          <w:kern w:val="0"/>
          <w:sz w:val="30"/>
          <w:szCs w:val="30"/>
        </w:rPr>
        <w:t>2年1月1日至2</w:t>
      </w:r>
      <w:r>
        <w:rPr>
          <w:rFonts w:ascii="仿宋" w:hAnsi="仿宋" w:eastAsia="仿宋" w:cs="仿宋"/>
          <w:kern w:val="0"/>
          <w:sz w:val="30"/>
          <w:szCs w:val="30"/>
        </w:rPr>
        <w:t>02</w:t>
      </w:r>
      <w:r>
        <w:rPr>
          <w:rFonts w:hint="eastAsia" w:ascii="仿宋" w:hAnsi="仿宋" w:eastAsia="仿宋" w:cs="仿宋"/>
          <w:kern w:val="0"/>
          <w:sz w:val="30"/>
          <w:szCs w:val="30"/>
        </w:rPr>
        <w:t>2年12月31日</w:t>
      </w:r>
      <w:r>
        <w:rPr>
          <w:rFonts w:ascii="仿宋" w:hAnsi="仿宋" w:eastAsia="仿宋" w:cs="仿宋"/>
          <w:kern w:val="0"/>
          <w:sz w:val="30"/>
          <w:szCs w:val="30"/>
        </w:rPr>
        <w:t>。</w:t>
      </w:r>
    </w:p>
    <w:p w14:paraId="4480064D">
      <w:pPr>
        <w:spacing w:line="64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6.年度预算安排</w:t>
      </w:r>
    </w:p>
    <w:p w14:paraId="1A767083">
      <w:pPr>
        <w:spacing w:line="640" w:lineRule="exact"/>
        <w:ind w:firstLine="600" w:firstLineChars="200"/>
        <w:rPr>
          <w:rFonts w:hint="eastAsia" w:ascii="仿宋" w:hAnsi="仿宋" w:eastAsia="仿宋" w:cs="仿宋"/>
          <w:kern w:val="0"/>
          <w:sz w:val="30"/>
          <w:szCs w:val="30"/>
        </w:rPr>
      </w:pPr>
      <w:r>
        <w:rPr>
          <w:rFonts w:ascii="仿宋" w:hAnsi="仿宋" w:eastAsia="仿宋" w:cs="仿宋"/>
          <w:kern w:val="0"/>
          <w:sz w:val="30"/>
          <w:szCs w:val="30"/>
        </w:rPr>
        <w:t>202</w:t>
      </w:r>
      <w:r>
        <w:rPr>
          <w:rFonts w:hint="eastAsia" w:ascii="仿宋" w:hAnsi="仿宋" w:eastAsia="仿宋" w:cs="仿宋"/>
          <w:kern w:val="0"/>
          <w:sz w:val="30"/>
          <w:szCs w:val="30"/>
        </w:rPr>
        <w:t>2年拟</w:t>
      </w:r>
      <w:r>
        <w:rPr>
          <w:rFonts w:ascii="仿宋" w:hAnsi="仿宋" w:eastAsia="仿宋" w:cs="仿宋"/>
          <w:kern w:val="0"/>
          <w:sz w:val="30"/>
          <w:szCs w:val="30"/>
        </w:rPr>
        <w:t>安排该项目一般公共预算</w:t>
      </w:r>
      <w:r>
        <w:rPr>
          <w:rFonts w:hint="eastAsia" w:ascii="仿宋" w:hAnsi="仿宋" w:eastAsia="仿宋" w:cs="仿宋"/>
          <w:kern w:val="0"/>
          <w:sz w:val="30"/>
          <w:szCs w:val="30"/>
        </w:rPr>
        <w:t>16.4万元。</w:t>
      </w:r>
    </w:p>
    <w:p w14:paraId="7758EF24">
      <w:pPr>
        <w:spacing w:line="640" w:lineRule="exact"/>
        <w:ind w:firstLine="600" w:firstLineChars="200"/>
        <w:rPr>
          <w:rFonts w:ascii="仿宋" w:hAnsi="仿宋" w:eastAsia="仿宋" w:cs="仿宋"/>
          <w:kern w:val="0"/>
          <w:sz w:val="30"/>
          <w:szCs w:val="30"/>
        </w:rPr>
      </w:pPr>
    </w:p>
    <w:p w14:paraId="055BE20F">
      <w:pPr>
        <w:widowControl/>
        <w:spacing w:line="64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第三部分</w:t>
      </w:r>
      <w:r>
        <w:rPr>
          <w:rFonts w:ascii="仿宋" w:hAnsi="仿宋" w:eastAsia="仿宋" w:cs="仿宋"/>
          <w:kern w:val="0"/>
          <w:sz w:val="30"/>
          <w:szCs w:val="30"/>
        </w:rPr>
        <w:t xml:space="preserve"> </w:t>
      </w:r>
      <w:r>
        <w:rPr>
          <w:rFonts w:hint="eastAsia" w:ascii="仿宋" w:hAnsi="仿宋" w:eastAsia="仿宋" w:cs="仿宋"/>
          <w:kern w:val="0"/>
          <w:sz w:val="30"/>
          <w:szCs w:val="30"/>
        </w:rPr>
        <w:t>名词解释</w:t>
      </w:r>
    </w:p>
    <w:p w14:paraId="5C2A727E">
      <w:pPr>
        <w:widowControl/>
        <w:spacing w:line="640" w:lineRule="exact"/>
        <w:ind w:firstLine="600" w:firstLineChars="200"/>
        <w:jc w:val="left"/>
        <w:rPr>
          <w:rFonts w:ascii="仿宋" w:hAnsi="仿宋" w:eastAsia="仿宋" w:cs="仿宋"/>
          <w:kern w:val="0"/>
          <w:sz w:val="30"/>
          <w:szCs w:val="30"/>
        </w:rPr>
      </w:pPr>
      <w:r>
        <w:rPr>
          <w:rFonts w:ascii="仿宋" w:hAnsi="仿宋" w:eastAsia="仿宋" w:cs="仿宋"/>
          <w:kern w:val="0"/>
          <w:sz w:val="30"/>
          <w:szCs w:val="30"/>
        </w:rPr>
        <w:t>1.</w:t>
      </w:r>
      <w:r>
        <w:rPr>
          <w:rFonts w:hint="eastAsia" w:ascii="仿宋" w:hAnsi="仿宋" w:eastAsia="仿宋" w:cs="仿宋"/>
          <w:kern w:val="0"/>
          <w:sz w:val="30"/>
          <w:szCs w:val="30"/>
        </w:rPr>
        <w:t>财政拨款收入：指市财政当年拨付的资金。</w:t>
      </w:r>
      <w:r>
        <w:rPr>
          <w:rFonts w:ascii="仿宋" w:hAnsi="仿宋" w:eastAsia="仿宋" w:cs="仿宋"/>
          <w:kern w:val="0"/>
          <w:sz w:val="30"/>
          <w:szCs w:val="30"/>
        </w:rPr>
        <w:t xml:space="preserve"> </w:t>
      </w:r>
    </w:p>
    <w:p w14:paraId="296D1C6F">
      <w:pPr>
        <w:widowControl/>
        <w:spacing w:line="640" w:lineRule="exact"/>
        <w:ind w:firstLine="600" w:firstLineChars="200"/>
        <w:jc w:val="left"/>
        <w:rPr>
          <w:rFonts w:ascii="仿宋" w:hAnsi="仿宋" w:eastAsia="仿宋" w:cs="仿宋"/>
          <w:kern w:val="0"/>
          <w:sz w:val="30"/>
          <w:szCs w:val="30"/>
        </w:rPr>
      </w:pPr>
      <w:r>
        <w:rPr>
          <w:rFonts w:ascii="仿宋" w:hAnsi="仿宋" w:eastAsia="仿宋" w:cs="仿宋"/>
          <w:kern w:val="0"/>
          <w:sz w:val="30"/>
          <w:szCs w:val="30"/>
        </w:rPr>
        <w:t>2.</w:t>
      </w:r>
      <w:r>
        <w:rPr>
          <w:rFonts w:hint="eastAsia" w:ascii="仿宋" w:hAnsi="仿宋" w:eastAsia="仿宋" w:cs="仿宋"/>
          <w:kern w:val="0"/>
          <w:sz w:val="30"/>
          <w:szCs w:val="30"/>
        </w:rPr>
        <w:t>其他收入：指除“财政拨款收入”、“财政专户拨款收入”等以外的收入，包括事业单位经营性收入、上级补助收入、附属单位上缴收入等。</w:t>
      </w:r>
    </w:p>
    <w:p w14:paraId="7EFF408A">
      <w:pPr>
        <w:widowControl/>
        <w:spacing w:line="640" w:lineRule="exact"/>
        <w:ind w:firstLine="600" w:firstLineChars="200"/>
        <w:jc w:val="left"/>
        <w:rPr>
          <w:rFonts w:ascii="仿宋" w:hAnsi="仿宋" w:eastAsia="仿宋" w:cs="仿宋"/>
          <w:kern w:val="0"/>
          <w:sz w:val="30"/>
          <w:szCs w:val="30"/>
        </w:rPr>
      </w:pPr>
      <w:r>
        <w:rPr>
          <w:rFonts w:ascii="仿宋" w:hAnsi="仿宋" w:eastAsia="仿宋" w:cs="仿宋"/>
          <w:kern w:val="0"/>
          <w:sz w:val="30"/>
          <w:szCs w:val="30"/>
        </w:rPr>
        <w:t>3.</w:t>
      </w:r>
      <w:r>
        <w:rPr>
          <w:rFonts w:hint="eastAsia" w:ascii="仿宋" w:hAnsi="仿宋" w:eastAsia="仿宋" w:cs="仿宋"/>
          <w:kern w:val="0"/>
          <w:sz w:val="30"/>
          <w:szCs w:val="30"/>
        </w:rPr>
        <w:t>基本支出：指为保障机构正常运转、完成日常工作任务而发生的人员支出和公用支出。</w:t>
      </w:r>
    </w:p>
    <w:p w14:paraId="0B19308E">
      <w:pPr>
        <w:widowControl/>
        <w:spacing w:line="640" w:lineRule="exact"/>
        <w:ind w:firstLine="600" w:firstLineChars="200"/>
        <w:jc w:val="left"/>
        <w:rPr>
          <w:rFonts w:ascii="仿宋" w:hAnsi="仿宋" w:eastAsia="仿宋" w:cs="仿宋"/>
          <w:kern w:val="0"/>
          <w:sz w:val="30"/>
          <w:szCs w:val="30"/>
        </w:rPr>
      </w:pPr>
      <w:r>
        <w:rPr>
          <w:rFonts w:ascii="仿宋" w:hAnsi="仿宋" w:eastAsia="仿宋" w:cs="仿宋"/>
          <w:kern w:val="0"/>
          <w:sz w:val="30"/>
          <w:szCs w:val="30"/>
        </w:rPr>
        <w:t>4.</w:t>
      </w:r>
      <w:r>
        <w:rPr>
          <w:rFonts w:hint="eastAsia" w:ascii="仿宋" w:hAnsi="仿宋" w:eastAsia="仿宋" w:cs="仿宋"/>
          <w:kern w:val="0"/>
          <w:sz w:val="30"/>
          <w:szCs w:val="30"/>
        </w:rPr>
        <w:t>项目支出：指在基本支出之外为完成特定行政任务和事业发展目标所发生的支出。</w:t>
      </w:r>
    </w:p>
    <w:p w14:paraId="519E720C">
      <w:pPr>
        <w:widowControl/>
        <w:spacing w:line="640" w:lineRule="exact"/>
        <w:ind w:firstLine="600" w:firstLineChars="200"/>
        <w:jc w:val="left"/>
        <w:rPr>
          <w:rFonts w:ascii="仿宋" w:hAnsi="仿宋" w:eastAsia="仿宋" w:cs="仿宋"/>
          <w:kern w:val="0"/>
          <w:sz w:val="30"/>
          <w:szCs w:val="30"/>
        </w:rPr>
      </w:pPr>
      <w:r>
        <w:rPr>
          <w:rFonts w:ascii="仿宋" w:hAnsi="仿宋" w:eastAsia="仿宋" w:cs="仿宋"/>
          <w:kern w:val="0"/>
          <w:sz w:val="30"/>
          <w:szCs w:val="30"/>
        </w:rPr>
        <w:t>5.</w:t>
      </w:r>
      <w:r>
        <w:rPr>
          <w:rFonts w:hint="eastAsia" w:ascii="仿宋" w:hAnsi="仿宋" w:eastAsia="仿宋" w:cs="仿宋"/>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4908785D">
      <w:pPr>
        <w:widowControl/>
        <w:spacing w:line="640" w:lineRule="exact"/>
        <w:ind w:firstLine="600" w:firstLineChars="200"/>
        <w:jc w:val="left"/>
        <w:rPr>
          <w:rFonts w:ascii="仿宋" w:hAnsi="仿宋" w:eastAsia="仿宋" w:cs="仿宋"/>
          <w:kern w:val="0"/>
          <w:sz w:val="30"/>
          <w:szCs w:val="30"/>
        </w:rPr>
      </w:pPr>
      <w:r>
        <w:rPr>
          <w:rFonts w:ascii="仿宋" w:hAnsi="仿宋" w:eastAsia="仿宋" w:cs="仿宋"/>
          <w:kern w:val="0"/>
          <w:sz w:val="30"/>
          <w:szCs w:val="30"/>
        </w:rPr>
        <w:t>6.</w:t>
      </w:r>
      <w:r>
        <w:rPr>
          <w:rFonts w:hint="eastAsia" w:ascii="仿宋" w:hAnsi="仿宋" w:eastAsia="仿宋" w:cs="仿宋"/>
          <w:kern w:val="0"/>
          <w:sz w:val="30"/>
          <w:szCs w:val="30"/>
        </w:rPr>
        <w:t>一般公共服务（类）财政事务（款）行政运行（项）：反映行政单位（包括实行公务员管理的事业单位）的基本支出。</w:t>
      </w:r>
    </w:p>
    <w:p w14:paraId="22207779">
      <w:pPr>
        <w:widowControl/>
        <w:spacing w:line="640" w:lineRule="exact"/>
        <w:ind w:firstLine="600" w:firstLineChars="200"/>
        <w:jc w:val="left"/>
        <w:rPr>
          <w:rFonts w:ascii="仿宋" w:hAnsi="仿宋" w:eastAsia="仿宋" w:cs="仿宋"/>
          <w:kern w:val="0"/>
          <w:sz w:val="30"/>
          <w:szCs w:val="30"/>
        </w:rPr>
      </w:pPr>
      <w:r>
        <w:rPr>
          <w:rFonts w:ascii="仿宋" w:hAnsi="仿宋" w:eastAsia="仿宋" w:cs="仿宋"/>
          <w:kern w:val="0"/>
          <w:sz w:val="30"/>
          <w:szCs w:val="30"/>
        </w:rPr>
        <w:t>7.</w:t>
      </w:r>
      <w:r>
        <w:rPr>
          <w:rFonts w:hint="eastAsia" w:ascii="仿宋" w:hAnsi="仿宋" w:eastAsia="仿宋" w:cs="仿宋"/>
          <w:kern w:val="0"/>
          <w:sz w:val="30"/>
          <w:szCs w:val="30"/>
        </w:rPr>
        <w:t>一般公共服务（类）财政事务（款）一般行政管理事务（项）：反映行政单位（包括实行公务员管理的事业单位）未单独设置项级科目的其他项目支出。</w:t>
      </w:r>
    </w:p>
    <w:p w14:paraId="76340F4E">
      <w:pPr>
        <w:widowControl/>
        <w:spacing w:line="640" w:lineRule="exact"/>
        <w:ind w:firstLine="600" w:firstLineChars="200"/>
        <w:jc w:val="left"/>
        <w:rPr>
          <w:rFonts w:ascii="仿宋" w:hAnsi="仿宋" w:eastAsia="仿宋" w:cs="仿宋"/>
          <w:kern w:val="0"/>
          <w:sz w:val="30"/>
          <w:szCs w:val="30"/>
        </w:rPr>
      </w:pPr>
      <w:r>
        <w:rPr>
          <w:rFonts w:ascii="仿宋" w:hAnsi="仿宋" w:eastAsia="仿宋" w:cs="仿宋"/>
          <w:kern w:val="0"/>
          <w:sz w:val="30"/>
          <w:szCs w:val="30"/>
        </w:rPr>
        <w:t>8</w:t>
      </w:r>
      <w:r>
        <w:rPr>
          <w:rFonts w:hint="eastAsia" w:ascii="仿宋" w:hAnsi="仿宋" w:eastAsia="仿宋" w:cs="仿宋"/>
          <w:kern w:val="0"/>
          <w:sz w:val="30"/>
          <w:szCs w:val="30"/>
        </w:rPr>
        <w:t>一般公共服务（类）财政事务（款）信息化建设（项）：反映财政部门用于“金财工程”等信息化建设方面的支出。</w:t>
      </w:r>
    </w:p>
    <w:p w14:paraId="1E90E9A4">
      <w:pPr>
        <w:widowControl/>
        <w:spacing w:line="640" w:lineRule="exact"/>
        <w:ind w:firstLine="600" w:firstLineChars="200"/>
        <w:jc w:val="left"/>
        <w:rPr>
          <w:rFonts w:ascii="仿宋" w:hAnsi="仿宋" w:eastAsia="仿宋" w:cs="仿宋"/>
          <w:kern w:val="0"/>
          <w:sz w:val="30"/>
          <w:szCs w:val="30"/>
        </w:rPr>
      </w:pPr>
      <w:r>
        <w:rPr>
          <w:rFonts w:ascii="仿宋" w:hAnsi="仿宋" w:eastAsia="仿宋" w:cs="仿宋"/>
          <w:kern w:val="0"/>
          <w:sz w:val="30"/>
          <w:szCs w:val="30"/>
        </w:rPr>
        <w:t>9.</w:t>
      </w:r>
      <w:r>
        <w:rPr>
          <w:rFonts w:hint="eastAsia" w:ascii="仿宋" w:hAnsi="仿宋" w:eastAsia="仿宋" w:cs="仿宋"/>
          <w:kern w:val="0"/>
          <w:sz w:val="30"/>
          <w:szCs w:val="30"/>
        </w:rPr>
        <w:t>一般公共服务（类）财政事务（款）财政委托业务支出（项）：反映财政委托评审机构进行财政投资评审和委托建设银行等机构代理业务发生的支出。</w:t>
      </w:r>
    </w:p>
    <w:p w14:paraId="3940B8F3">
      <w:pPr>
        <w:widowControl/>
        <w:spacing w:line="640" w:lineRule="exact"/>
        <w:ind w:firstLine="600" w:firstLineChars="200"/>
        <w:jc w:val="left"/>
        <w:rPr>
          <w:rFonts w:ascii="仿宋" w:hAnsi="仿宋" w:eastAsia="仿宋" w:cs="仿宋"/>
          <w:kern w:val="0"/>
          <w:sz w:val="30"/>
          <w:szCs w:val="30"/>
        </w:rPr>
      </w:pPr>
      <w:r>
        <w:rPr>
          <w:rFonts w:ascii="仿宋" w:hAnsi="仿宋" w:eastAsia="仿宋" w:cs="仿宋"/>
          <w:kern w:val="0"/>
          <w:sz w:val="30"/>
          <w:szCs w:val="30"/>
        </w:rPr>
        <w:t xml:space="preserve">10. </w:t>
      </w:r>
      <w:r>
        <w:rPr>
          <w:rFonts w:hint="eastAsia" w:ascii="仿宋" w:hAnsi="仿宋" w:eastAsia="仿宋" w:cs="仿宋"/>
          <w:kern w:val="0"/>
          <w:sz w:val="30"/>
          <w:szCs w:val="30"/>
        </w:rPr>
        <w:t>一般公共服务（类）财政事务（款）事业运行（项）：反映事业单位的基本支出，不包括行政单位（包括实行公务员管理的事业单位）后勤服务中心、医务室等附属事业单位。</w:t>
      </w:r>
    </w:p>
    <w:p w14:paraId="2541F60E">
      <w:pPr>
        <w:widowControl/>
        <w:spacing w:line="640" w:lineRule="exact"/>
        <w:ind w:firstLine="600" w:firstLineChars="200"/>
        <w:jc w:val="left"/>
        <w:rPr>
          <w:rFonts w:ascii="仿宋" w:hAnsi="仿宋" w:eastAsia="仿宋" w:cs="仿宋"/>
          <w:kern w:val="0"/>
          <w:sz w:val="30"/>
          <w:szCs w:val="30"/>
        </w:rPr>
      </w:pPr>
      <w:r>
        <w:rPr>
          <w:rFonts w:ascii="仿宋" w:hAnsi="仿宋" w:eastAsia="仿宋" w:cs="仿宋"/>
          <w:kern w:val="0"/>
          <w:sz w:val="30"/>
          <w:szCs w:val="30"/>
        </w:rPr>
        <w:t xml:space="preserve">11. </w:t>
      </w:r>
      <w:r>
        <w:rPr>
          <w:rFonts w:hint="eastAsia" w:ascii="仿宋" w:hAnsi="仿宋" w:eastAsia="仿宋" w:cs="仿宋"/>
          <w:kern w:val="0"/>
          <w:sz w:val="30"/>
          <w:szCs w:val="30"/>
        </w:rPr>
        <w:t>一般公共服务（类）财政事务（款）其他财政事务支出（项）：反映其他财政事务方面的支出。</w:t>
      </w:r>
    </w:p>
    <w:p w14:paraId="0E7D0A39">
      <w:pPr>
        <w:widowControl/>
        <w:spacing w:line="640" w:lineRule="exact"/>
        <w:ind w:firstLine="600" w:firstLineChars="200"/>
        <w:jc w:val="left"/>
        <w:rPr>
          <w:rFonts w:ascii="仿宋" w:hAnsi="仿宋" w:eastAsia="仿宋" w:cs="仿宋"/>
          <w:kern w:val="0"/>
          <w:sz w:val="30"/>
          <w:szCs w:val="30"/>
        </w:rPr>
      </w:pPr>
      <w:r>
        <w:rPr>
          <w:rFonts w:ascii="仿宋" w:hAnsi="仿宋" w:eastAsia="仿宋" w:cs="仿宋"/>
          <w:kern w:val="0"/>
          <w:sz w:val="30"/>
          <w:szCs w:val="30"/>
        </w:rPr>
        <w:t>12</w:t>
      </w:r>
      <w:r>
        <w:rPr>
          <w:rFonts w:hint="eastAsia" w:ascii="仿宋" w:hAnsi="仿宋" w:eastAsia="仿宋" w:cs="仿宋"/>
          <w:kern w:val="0"/>
          <w:sz w:val="30"/>
          <w:szCs w:val="30"/>
        </w:rPr>
        <w:t>．教育支出（类）其他教育支出（款）其他教育支出（项）：反映其他用于教育方面的支出。</w:t>
      </w:r>
    </w:p>
    <w:p w14:paraId="047EB3EC">
      <w:pPr>
        <w:widowControl/>
        <w:spacing w:line="640" w:lineRule="exact"/>
        <w:ind w:firstLine="600" w:firstLineChars="200"/>
        <w:jc w:val="left"/>
        <w:rPr>
          <w:rFonts w:ascii="仿宋" w:hAnsi="仿宋" w:eastAsia="仿宋" w:cs="仿宋"/>
          <w:kern w:val="0"/>
          <w:sz w:val="30"/>
          <w:szCs w:val="30"/>
        </w:rPr>
      </w:pPr>
      <w:r>
        <w:rPr>
          <w:rFonts w:ascii="仿宋" w:hAnsi="仿宋" w:eastAsia="仿宋" w:cs="仿宋"/>
          <w:kern w:val="0"/>
          <w:sz w:val="30"/>
          <w:szCs w:val="30"/>
        </w:rPr>
        <w:t xml:space="preserve">13. </w:t>
      </w:r>
      <w:r>
        <w:rPr>
          <w:rFonts w:hint="eastAsia" w:ascii="仿宋" w:hAnsi="仿宋" w:eastAsia="仿宋" w:cs="仿宋"/>
          <w:kern w:val="0"/>
          <w:sz w:val="30"/>
          <w:szCs w:val="30"/>
        </w:rPr>
        <w:t>社会保障和就业（类）行政事业单位离退休（款）归口管理的行政单位离退休（项）：反映实行归口管理的行政单位（包括实行公务员管理的事业单位）开支的离退休经费。</w:t>
      </w:r>
    </w:p>
    <w:p w14:paraId="2A45CC11">
      <w:pPr>
        <w:widowControl/>
        <w:spacing w:line="640" w:lineRule="exact"/>
        <w:ind w:firstLine="600" w:firstLineChars="200"/>
        <w:jc w:val="left"/>
        <w:rPr>
          <w:rFonts w:ascii="仿宋" w:hAnsi="仿宋" w:eastAsia="仿宋" w:cs="仿宋"/>
          <w:kern w:val="0"/>
          <w:sz w:val="30"/>
          <w:szCs w:val="30"/>
        </w:rPr>
      </w:pPr>
      <w:r>
        <w:rPr>
          <w:rFonts w:ascii="仿宋" w:hAnsi="仿宋" w:eastAsia="仿宋" w:cs="仿宋"/>
          <w:kern w:val="0"/>
          <w:sz w:val="30"/>
          <w:szCs w:val="30"/>
        </w:rPr>
        <w:t xml:space="preserve">14. </w:t>
      </w:r>
      <w:r>
        <w:rPr>
          <w:rFonts w:hint="eastAsia" w:ascii="仿宋" w:hAnsi="仿宋" w:eastAsia="仿宋" w:cs="仿宋"/>
          <w:kern w:val="0"/>
          <w:sz w:val="30"/>
          <w:szCs w:val="30"/>
        </w:rPr>
        <w:t>社会保障和就业（类）行政事业单位离退休（款）机关事业单位基本养老保险缴费支出（项）：反映机关事业单位实施养老保险制度由单位缴纳的基本养老保险费支出。</w:t>
      </w:r>
    </w:p>
    <w:p w14:paraId="4914C78B">
      <w:pPr>
        <w:widowControl/>
        <w:spacing w:line="640" w:lineRule="exact"/>
        <w:ind w:firstLine="600" w:firstLineChars="200"/>
        <w:jc w:val="left"/>
        <w:rPr>
          <w:rFonts w:ascii="仿宋" w:hAnsi="仿宋" w:eastAsia="仿宋" w:cs="仿宋"/>
          <w:kern w:val="0"/>
          <w:sz w:val="30"/>
          <w:szCs w:val="30"/>
        </w:rPr>
      </w:pPr>
      <w:r>
        <w:rPr>
          <w:rFonts w:ascii="仿宋" w:hAnsi="仿宋" w:eastAsia="仿宋" w:cs="仿宋"/>
          <w:kern w:val="0"/>
          <w:sz w:val="30"/>
          <w:szCs w:val="30"/>
        </w:rPr>
        <w:t>15.</w:t>
      </w:r>
      <w:r>
        <w:rPr>
          <w:rFonts w:hint="eastAsia" w:ascii="仿宋" w:hAnsi="仿宋" w:eastAsia="仿宋" w:cs="仿宋"/>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512F29C9">
      <w:pPr>
        <w:widowControl/>
        <w:spacing w:line="640" w:lineRule="exact"/>
        <w:ind w:firstLine="600" w:firstLineChars="200"/>
        <w:jc w:val="left"/>
        <w:rPr>
          <w:rFonts w:ascii="仿宋" w:hAnsi="仿宋" w:eastAsia="仿宋" w:cs="仿宋"/>
          <w:kern w:val="0"/>
          <w:sz w:val="30"/>
          <w:szCs w:val="30"/>
        </w:rPr>
      </w:pPr>
      <w:r>
        <w:rPr>
          <w:rFonts w:ascii="仿宋" w:hAnsi="仿宋" w:eastAsia="仿宋" w:cs="仿宋"/>
          <w:kern w:val="0"/>
          <w:sz w:val="30"/>
          <w:szCs w:val="30"/>
        </w:rPr>
        <w:t>16.</w:t>
      </w:r>
      <w:r>
        <w:rPr>
          <w:rFonts w:hint="eastAsia" w:ascii="仿宋" w:hAnsi="仿宋" w:eastAsia="仿宋" w:cs="仿宋"/>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529CBC11">
      <w:pPr>
        <w:widowControl/>
        <w:spacing w:line="640" w:lineRule="exact"/>
        <w:ind w:firstLine="600" w:firstLineChars="200"/>
        <w:jc w:val="left"/>
        <w:rPr>
          <w:rFonts w:ascii="仿宋" w:hAnsi="仿宋" w:eastAsia="仿宋" w:cs="仿宋"/>
          <w:kern w:val="0"/>
          <w:sz w:val="30"/>
          <w:szCs w:val="30"/>
        </w:rPr>
      </w:pPr>
      <w:r>
        <w:rPr>
          <w:rFonts w:ascii="仿宋" w:hAnsi="仿宋" w:eastAsia="仿宋" w:cs="仿宋"/>
          <w:kern w:val="0"/>
          <w:sz w:val="30"/>
          <w:szCs w:val="30"/>
        </w:rPr>
        <w:t>17.</w:t>
      </w:r>
      <w:r>
        <w:rPr>
          <w:rFonts w:hint="eastAsia" w:ascii="仿宋" w:hAnsi="仿宋" w:eastAsia="仿宋" w:cs="仿宋"/>
          <w:kern w:val="0"/>
          <w:sz w:val="30"/>
          <w:szCs w:val="30"/>
        </w:rPr>
        <w:t>住房保障（类）住房改革（款）住房公积金（项）：反映行政事业单位按人力资源和社会保障部、财政部规定的基本工资和津贴补贴以及规定比例为职工缴纳的住房公积金。</w:t>
      </w:r>
    </w:p>
    <w:p w14:paraId="1C7F7F32">
      <w:pPr>
        <w:widowControl/>
        <w:spacing w:line="640" w:lineRule="exact"/>
        <w:ind w:firstLine="600" w:firstLineChars="200"/>
        <w:jc w:val="left"/>
        <w:rPr>
          <w:rFonts w:ascii="仿宋" w:hAnsi="仿宋" w:eastAsia="仿宋" w:cs="仿宋"/>
          <w:kern w:val="0"/>
          <w:sz w:val="30"/>
          <w:szCs w:val="30"/>
        </w:rPr>
      </w:pPr>
      <w:r>
        <w:rPr>
          <w:rFonts w:ascii="仿宋" w:hAnsi="仿宋" w:eastAsia="仿宋" w:cs="仿宋"/>
          <w:kern w:val="0"/>
          <w:sz w:val="30"/>
          <w:szCs w:val="30"/>
        </w:rPr>
        <w:t>18.</w:t>
      </w:r>
      <w:r>
        <w:rPr>
          <w:rFonts w:hint="eastAsia" w:ascii="仿宋" w:hAnsi="仿宋" w:eastAsia="仿宋" w:cs="仿宋"/>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13085B3A">
      <w:pPr>
        <w:widowControl/>
        <w:spacing w:line="330" w:lineRule="atLeast"/>
        <w:ind w:firstLine="600" w:firstLineChars="200"/>
        <w:jc w:val="left"/>
        <w:rPr>
          <w:rFonts w:ascii="仿宋" w:hAnsi="仿宋" w:eastAsia="仿宋" w:cs="仿宋"/>
          <w:kern w:val="0"/>
          <w:sz w:val="30"/>
          <w:szCs w:val="30"/>
        </w:rPr>
      </w:pPr>
    </w:p>
    <w:p w14:paraId="5E8EECCE">
      <w:pPr>
        <w:widowControl/>
        <w:spacing w:line="330" w:lineRule="atLeast"/>
        <w:ind w:firstLine="600" w:firstLineChars="200"/>
        <w:jc w:val="left"/>
        <w:rPr>
          <w:rFonts w:ascii="仿宋" w:hAnsi="仿宋" w:eastAsia="仿宋" w:cs="仿宋"/>
          <w:kern w:val="0"/>
          <w:sz w:val="30"/>
          <w:szCs w:val="30"/>
        </w:rPr>
      </w:pPr>
      <w:r>
        <w:rPr>
          <w:rFonts w:ascii="仿宋" w:hAnsi="仿宋" w:eastAsia="仿宋" w:cs="仿宋"/>
          <w:kern w:val="0"/>
          <w:sz w:val="30"/>
          <w:szCs w:val="30"/>
        </w:rPr>
        <w:t xml:space="preserve">                                 202</w:t>
      </w:r>
      <w:r>
        <w:rPr>
          <w:rFonts w:hint="eastAsia" w:ascii="仿宋" w:hAnsi="仿宋" w:eastAsia="仿宋" w:cs="仿宋"/>
          <w:kern w:val="0"/>
          <w:sz w:val="30"/>
          <w:szCs w:val="30"/>
        </w:rPr>
        <w:t>2年2月17日</w:t>
      </w:r>
    </w:p>
    <w:p w14:paraId="55B5D0AD">
      <w:pPr>
        <w:widowControl/>
        <w:spacing w:line="330" w:lineRule="atLeast"/>
        <w:ind w:firstLine="600" w:firstLineChars="200"/>
        <w:jc w:val="left"/>
        <w:rPr>
          <w:rFonts w:ascii="仿宋" w:hAnsi="仿宋" w:eastAsia="仿宋" w:cs="仿宋"/>
          <w:kern w:val="0"/>
          <w:sz w:val="30"/>
          <w:szCs w:val="30"/>
        </w:rPr>
      </w:pPr>
    </w:p>
    <w:sectPr>
      <w:footerReference r:id="rId3" w:type="default"/>
      <w:footerReference r:id="rId4" w:type="even"/>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F8525B">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7</w:t>
    </w:r>
    <w:r>
      <w:rPr>
        <w:rStyle w:val="6"/>
      </w:rPr>
      <w:fldChar w:fldCharType="end"/>
    </w:r>
  </w:p>
  <w:p w14:paraId="1E544343">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6052F">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76092175">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6FB7BA"/>
    <w:multiLevelType w:val="singleLevel"/>
    <w:tmpl w:val="946FB7B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02530"/>
    <w:rsid w:val="00002BAB"/>
    <w:rsid w:val="000045B8"/>
    <w:rsid w:val="000130C2"/>
    <w:rsid w:val="00016264"/>
    <w:rsid w:val="00017B87"/>
    <w:rsid w:val="000220BC"/>
    <w:rsid w:val="00022B54"/>
    <w:rsid w:val="0003365D"/>
    <w:rsid w:val="00040279"/>
    <w:rsid w:val="00041854"/>
    <w:rsid w:val="000449D5"/>
    <w:rsid w:val="00045CEA"/>
    <w:rsid w:val="00046D52"/>
    <w:rsid w:val="0004744F"/>
    <w:rsid w:val="00053D99"/>
    <w:rsid w:val="0006062E"/>
    <w:rsid w:val="0006561A"/>
    <w:rsid w:val="00066F30"/>
    <w:rsid w:val="00084B59"/>
    <w:rsid w:val="000A0A02"/>
    <w:rsid w:val="000A53D4"/>
    <w:rsid w:val="000A55C1"/>
    <w:rsid w:val="000C6B49"/>
    <w:rsid w:val="000C6D05"/>
    <w:rsid w:val="000E6C93"/>
    <w:rsid w:val="000E7D75"/>
    <w:rsid w:val="000F7EC7"/>
    <w:rsid w:val="00101BE5"/>
    <w:rsid w:val="00104AD4"/>
    <w:rsid w:val="0010550E"/>
    <w:rsid w:val="00105E0D"/>
    <w:rsid w:val="00106522"/>
    <w:rsid w:val="001165EF"/>
    <w:rsid w:val="0012292E"/>
    <w:rsid w:val="00122ACC"/>
    <w:rsid w:val="001255BC"/>
    <w:rsid w:val="00150877"/>
    <w:rsid w:val="001518B3"/>
    <w:rsid w:val="00154BA1"/>
    <w:rsid w:val="00161209"/>
    <w:rsid w:val="00161D29"/>
    <w:rsid w:val="00164A2E"/>
    <w:rsid w:val="00165857"/>
    <w:rsid w:val="00187190"/>
    <w:rsid w:val="00195C8B"/>
    <w:rsid w:val="001961A4"/>
    <w:rsid w:val="001A580E"/>
    <w:rsid w:val="001B1AD4"/>
    <w:rsid w:val="001B4947"/>
    <w:rsid w:val="001D2999"/>
    <w:rsid w:val="001D7051"/>
    <w:rsid w:val="001E05AB"/>
    <w:rsid w:val="001E2A9B"/>
    <w:rsid w:val="001E350C"/>
    <w:rsid w:val="001E3E93"/>
    <w:rsid w:val="001E6730"/>
    <w:rsid w:val="001F3AA2"/>
    <w:rsid w:val="001F6AE8"/>
    <w:rsid w:val="002016BC"/>
    <w:rsid w:val="00212E7D"/>
    <w:rsid w:val="00224F6B"/>
    <w:rsid w:val="00264775"/>
    <w:rsid w:val="00265F8B"/>
    <w:rsid w:val="0026653D"/>
    <w:rsid w:val="0027278C"/>
    <w:rsid w:val="00275DE8"/>
    <w:rsid w:val="00275EE8"/>
    <w:rsid w:val="002777B6"/>
    <w:rsid w:val="00286258"/>
    <w:rsid w:val="00287ACF"/>
    <w:rsid w:val="00297382"/>
    <w:rsid w:val="00297E4B"/>
    <w:rsid w:val="002B23B7"/>
    <w:rsid w:val="002B318B"/>
    <w:rsid w:val="002B4E2C"/>
    <w:rsid w:val="002B62F5"/>
    <w:rsid w:val="002C2B9F"/>
    <w:rsid w:val="002C34A0"/>
    <w:rsid w:val="002D1847"/>
    <w:rsid w:val="002D68D6"/>
    <w:rsid w:val="002D7A1C"/>
    <w:rsid w:val="002E5CD6"/>
    <w:rsid w:val="002E6BAD"/>
    <w:rsid w:val="002F1203"/>
    <w:rsid w:val="002F31AA"/>
    <w:rsid w:val="003003AA"/>
    <w:rsid w:val="00312B1C"/>
    <w:rsid w:val="00315D51"/>
    <w:rsid w:val="00317072"/>
    <w:rsid w:val="00320A20"/>
    <w:rsid w:val="003221A5"/>
    <w:rsid w:val="0032565D"/>
    <w:rsid w:val="0032698A"/>
    <w:rsid w:val="003374E4"/>
    <w:rsid w:val="00342DA2"/>
    <w:rsid w:val="003431AF"/>
    <w:rsid w:val="00346C8A"/>
    <w:rsid w:val="00370937"/>
    <w:rsid w:val="00397456"/>
    <w:rsid w:val="003B188D"/>
    <w:rsid w:val="003B50ED"/>
    <w:rsid w:val="003C65CD"/>
    <w:rsid w:val="003D771B"/>
    <w:rsid w:val="003E105F"/>
    <w:rsid w:val="003E26ED"/>
    <w:rsid w:val="003E3CD6"/>
    <w:rsid w:val="003E61DA"/>
    <w:rsid w:val="003F2AA1"/>
    <w:rsid w:val="003F2C19"/>
    <w:rsid w:val="003F3F1D"/>
    <w:rsid w:val="003F4DFF"/>
    <w:rsid w:val="003F4F25"/>
    <w:rsid w:val="004115C9"/>
    <w:rsid w:val="004221E9"/>
    <w:rsid w:val="004405F3"/>
    <w:rsid w:val="00447DC8"/>
    <w:rsid w:val="004727A6"/>
    <w:rsid w:val="0047716E"/>
    <w:rsid w:val="00485329"/>
    <w:rsid w:val="004860EB"/>
    <w:rsid w:val="0049009A"/>
    <w:rsid w:val="004B603D"/>
    <w:rsid w:val="004D2AC7"/>
    <w:rsid w:val="004D7EA6"/>
    <w:rsid w:val="004E350F"/>
    <w:rsid w:val="004F7A6E"/>
    <w:rsid w:val="00502BB0"/>
    <w:rsid w:val="005040D0"/>
    <w:rsid w:val="00513624"/>
    <w:rsid w:val="00537475"/>
    <w:rsid w:val="005423C1"/>
    <w:rsid w:val="005637BB"/>
    <w:rsid w:val="005749E9"/>
    <w:rsid w:val="005776F0"/>
    <w:rsid w:val="00592029"/>
    <w:rsid w:val="00592DE2"/>
    <w:rsid w:val="00593633"/>
    <w:rsid w:val="00594FB5"/>
    <w:rsid w:val="005A04CC"/>
    <w:rsid w:val="005A35A8"/>
    <w:rsid w:val="005B2CD0"/>
    <w:rsid w:val="005D44C4"/>
    <w:rsid w:val="005D6181"/>
    <w:rsid w:val="005D6799"/>
    <w:rsid w:val="005E5D50"/>
    <w:rsid w:val="005E73FD"/>
    <w:rsid w:val="005F4DCC"/>
    <w:rsid w:val="005F6310"/>
    <w:rsid w:val="00612E6A"/>
    <w:rsid w:val="00614500"/>
    <w:rsid w:val="00620092"/>
    <w:rsid w:val="0063323B"/>
    <w:rsid w:val="00641134"/>
    <w:rsid w:val="00641C61"/>
    <w:rsid w:val="006541E5"/>
    <w:rsid w:val="00666DD9"/>
    <w:rsid w:val="00680054"/>
    <w:rsid w:val="00685E3D"/>
    <w:rsid w:val="00691AA8"/>
    <w:rsid w:val="00692DD1"/>
    <w:rsid w:val="006952EC"/>
    <w:rsid w:val="006973B4"/>
    <w:rsid w:val="006B3DD4"/>
    <w:rsid w:val="006C4299"/>
    <w:rsid w:val="006C50F8"/>
    <w:rsid w:val="006C5384"/>
    <w:rsid w:val="006E5605"/>
    <w:rsid w:val="0070474F"/>
    <w:rsid w:val="00706E50"/>
    <w:rsid w:val="00731781"/>
    <w:rsid w:val="00741F89"/>
    <w:rsid w:val="0075074F"/>
    <w:rsid w:val="00753345"/>
    <w:rsid w:val="00753F26"/>
    <w:rsid w:val="00755C7B"/>
    <w:rsid w:val="007622CF"/>
    <w:rsid w:val="0076461C"/>
    <w:rsid w:val="00765393"/>
    <w:rsid w:val="00772D51"/>
    <w:rsid w:val="007805EB"/>
    <w:rsid w:val="00780EAB"/>
    <w:rsid w:val="00793572"/>
    <w:rsid w:val="007971B7"/>
    <w:rsid w:val="00797B39"/>
    <w:rsid w:val="007B0D20"/>
    <w:rsid w:val="007B12D0"/>
    <w:rsid w:val="007C5E3C"/>
    <w:rsid w:val="007C73E6"/>
    <w:rsid w:val="007E5065"/>
    <w:rsid w:val="007F23D9"/>
    <w:rsid w:val="007F5365"/>
    <w:rsid w:val="008072C9"/>
    <w:rsid w:val="00810701"/>
    <w:rsid w:val="008207A6"/>
    <w:rsid w:val="0082397E"/>
    <w:rsid w:val="00825A17"/>
    <w:rsid w:val="008261A0"/>
    <w:rsid w:val="00826E6F"/>
    <w:rsid w:val="0085203E"/>
    <w:rsid w:val="008620BC"/>
    <w:rsid w:val="00863E92"/>
    <w:rsid w:val="008641D1"/>
    <w:rsid w:val="008764DF"/>
    <w:rsid w:val="00883A66"/>
    <w:rsid w:val="00884B2E"/>
    <w:rsid w:val="008955EA"/>
    <w:rsid w:val="00895749"/>
    <w:rsid w:val="008957F7"/>
    <w:rsid w:val="00896F89"/>
    <w:rsid w:val="008A4E37"/>
    <w:rsid w:val="008B01B8"/>
    <w:rsid w:val="008B3122"/>
    <w:rsid w:val="008B3318"/>
    <w:rsid w:val="008B39DC"/>
    <w:rsid w:val="008B5C35"/>
    <w:rsid w:val="008C725D"/>
    <w:rsid w:val="008C77BC"/>
    <w:rsid w:val="008D5CB1"/>
    <w:rsid w:val="008E1C52"/>
    <w:rsid w:val="008E44CB"/>
    <w:rsid w:val="008E7A8F"/>
    <w:rsid w:val="00901B13"/>
    <w:rsid w:val="00901F4E"/>
    <w:rsid w:val="009059EF"/>
    <w:rsid w:val="009244A6"/>
    <w:rsid w:val="00926043"/>
    <w:rsid w:val="00941B10"/>
    <w:rsid w:val="009568F1"/>
    <w:rsid w:val="00961681"/>
    <w:rsid w:val="0096311F"/>
    <w:rsid w:val="009644D4"/>
    <w:rsid w:val="009652AA"/>
    <w:rsid w:val="009815EE"/>
    <w:rsid w:val="009848F0"/>
    <w:rsid w:val="00985830"/>
    <w:rsid w:val="009870F9"/>
    <w:rsid w:val="00990784"/>
    <w:rsid w:val="0099289B"/>
    <w:rsid w:val="009A584B"/>
    <w:rsid w:val="009B00D7"/>
    <w:rsid w:val="009B2426"/>
    <w:rsid w:val="009C6E07"/>
    <w:rsid w:val="009E374F"/>
    <w:rsid w:val="009F1015"/>
    <w:rsid w:val="009F229D"/>
    <w:rsid w:val="00A00678"/>
    <w:rsid w:val="00A03D30"/>
    <w:rsid w:val="00A12672"/>
    <w:rsid w:val="00A150E4"/>
    <w:rsid w:val="00A2204B"/>
    <w:rsid w:val="00A26A44"/>
    <w:rsid w:val="00A3340D"/>
    <w:rsid w:val="00A3368B"/>
    <w:rsid w:val="00A377FD"/>
    <w:rsid w:val="00A37AC3"/>
    <w:rsid w:val="00A4045A"/>
    <w:rsid w:val="00A5261D"/>
    <w:rsid w:val="00A53DE5"/>
    <w:rsid w:val="00A5549A"/>
    <w:rsid w:val="00A60D00"/>
    <w:rsid w:val="00A70656"/>
    <w:rsid w:val="00A754F0"/>
    <w:rsid w:val="00A7639E"/>
    <w:rsid w:val="00A8038A"/>
    <w:rsid w:val="00A81826"/>
    <w:rsid w:val="00A924A6"/>
    <w:rsid w:val="00AA382F"/>
    <w:rsid w:val="00AC40B5"/>
    <w:rsid w:val="00AC7B47"/>
    <w:rsid w:val="00AD4AF5"/>
    <w:rsid w:val="00AD6AFF"/>
    <w:rsid w:val="00AE72D3"/>
    <w:rsid w:val="00AE7779"/>
    <w:rsid w:val="00AF47C5"/>
    <w:rsid w:val="00B07B30"/>
    <w:rsid w:val="00B07BF3"/>
    <w:rsid w:val="00B217F1"/>
    <w:rsid w:val="00B3394E"/>
    <w:rsid w:val="00B40E6C"/>
    <w:rsid w:val="00B42381"/>
    <w:rsid w:val="00B4656B"/>
    <w:rsid w:val="00B6416E"/>
    <w:rsid w:val="00B7118F"/>
    <w:rsid w:val="00BB77C4"/>
    <w:rsid w:val="00BC5171"/>
    <w:rsid w:val="00BD6AD4"/>
    <w:rsid w:val="00BE53AA"/>
    <w:rsid w:val="00BE7C58"/>
    <w:rsid w:val="00BF5A10"/>
    <w:rsid w:val="00C0387D"/>
    <w:rsid w:val="00C052C0"/>
    <w:rsid w:val="00C052EC"/>
    <w:rsid w:val="00C06047"/>
    <w:rsid w:val="00C14319"/>
    <w:rsid w:val="00C3494E"/>
    <w:rsid w:val="00C403F4"/>
    <w:rsid w:val="00C52D9E"/>
    <w:rsid w:val="00C61A43"/>
    <w:rsid w:val="00C6442C"/>
    <w:rsid w:val="00C67479"/>
    <w:rsid w:val="00C82EE1"/>
    <w:rsid w:val="00CA1708"/>
    <w:rsid w:val="00CB4474"/>
    <w:rsid w:val="00CC08D2"/>
    <w:rsid w:val="00CD1F30"/>
    <w:rsid w:val="00CD248C"/>
    <w:rsid w:val="00CD52EE"/>
    <w:rsid w:val="00CF1970"/>
    <w:rsid w:val="00CF43DA"/>
    <w:rsid w:val="00CF6BD2"/>
    <w:rsid w:val="00D10236"/>
    <w:rsid w:val="00D176CA"/>
    <w:rsid w:val="00D400F0"/>
    <w:rsid w:val="00D41A68"/>
    <w:rsid w:val="00D54F71"/>
    <w:rsid w:val="00D62F3D"/>
    <w:rsid w:val="00D70887"/>
    <w:rsid w:val="00D72171"/>
    <w:rsid w:val="00D81659"/>
    <w:rsid w:val="00D82E50"/>
    <w:rsid w:val="00D876AC"/>
    <w:rsid w:val="00DA028A"/>
    <w:rsid w:val="00DA4DBA"/>
    <w:rsid w:val="00DA4EA4"/>
    <w:rsid w:val="00DC1136"/>
    <w:rsid w:val="00DC68C9"/>
    <w:rsid w:val="00DD605A"/>
    <w:rsid w:val="00DD67CE"/>
    <w:rsid w:val="00DE6E9A"/>
    <w:rsid w:val="00DF2079"/>
    <w:rsid w:val="00DF3D9D"/>
    <w:rsid w:val="00E041CE"/>
    <w:rsid w:val="00E07122"/>
    <w:rsid w:val="00E0798B"/>
    <w:rsid w:val="00E11319"/>
    <w:rsid w:val="00E1310B"/>
    <w:rsid w:val="00E160F9"/>
    <w:rsid w:val="00E2160F"/>
    <w:rsid w:val="00E22472"/>
    <w:rsid w:val="00E230D9"/>
    <w:rsid w:val="00E24575"/>
    <w:rsid w:val="00E43146"/>
    <w:rsid w:val="00E43359"/>
    <w:rsid w:val="00E454AB"/>
    <w:rsid w:val="00E679E1"/>
    <w:rsid w:val="00E804EF"/>
    <w:rsid w:val="00E876A6"/>
    <w:rsid w:val="00E94F83"/>
    <w:rsid w:val="00EA15E7"/>
    <w:rsid w:val="00EB0F1B"/>
    <w:rsid w:val="00EB6E55"/>
    <w:rsid w:val="00EC4F04"/>
    <w:rsid w:val="00ED6836"/>
    <w:rsid w:val="00ED7E2C"/>
    <w:rsid w:val="00EE134B"/>
    <w:rsid w:val="00F01060"/>
    <w:rsid w:val="00F11659"/>
    <w:rsid w:val="00F168F1"/>
    <w:rsid w:val="00F251AC"/>
    <w:rsid w:val="00F2611C"/>
    <w:rsid w:val="00F565E1"/>
    <w:rsid w:val="00F60856"/>
    <w:rsid w:val="00F64100"/>
    <w:rsid w:val="00F713C4"/>
    <w:rsid w:val="00F76F83"/>
    <w:rsid w:val="00F80042"/>
    <w:rsid w:val="00F8549D"/>
    <w:rsid w:val="00F915B8"/>
    <w:rsid w:val="00F936A0"/>
    <w:rsid w:val="00F94B86"/>
    <w:rsid w:val="00FB0D9A"/>
    <w:rsid w:val="00FC3253"/>
    <w:rsid w:val="00FC5228"/>
    <w:rsid w:val="00FD042E"/>
    <w:rsid w:val="00FD31AB"/>
    <w:rsid w:val="00FD7251"/>
    <w:rsid w:val="00FE7CC4"/>
    <w:rsid w:val="00FF27E7"/>
    <w:rsid w:val="26D93A98"/>
    <w:rsid w:val="330E4552"/>
    <w:rsid w:val="391E07E1"/>
    <w:rsid w:val="7ADF5E4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kern w:val="0"/>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kern w:val="0"/>
      <w:sz w:val="18"/>
      <w:szCs w:val="18"/>
    </w:rPr>
  </w:style>
  <w:style w:type="character" w:styleId="6">
    <w:name w:val="page number"/>
    <w:qFormat/>
    <w:uiPriority w:val="99"/>
    <w:rPr>
      <w:rFonts w:cs="Times New Roman"/>
    </w:rPr>
  </w:style>
  <w:style w:type="character" w:customStyle="1" w:styleId="7">
    <w:name w:val="页眉 Char"/>
    <w:link w:val="3"/>
    <w:semiHidden/>
    <w:qFormat/>
    <w:locked/>
    <w:uiPriority w:val="99"/>
    <w:rPr>
      <w:rFonts w:ascii="Times New Roman" w:hAnsi="Times New Roman" w:eastAsia="宋体" w:cs="Times New Roman"/>
      <w:sz w:val="18"/>
      <w:szCs w:val="18"/>
    </w:rPr>
  </w:style>
  <w:style w:type="character" w:customStyle="1" w:styleId="8">
    <w:name w:val="页脚 Char"/>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2843</Words>
  <Characters>3013</Characters>
  <Lines>23</Lines>
  <Paragraphs>6</Paragraphs>
  <TotalTime>107</TotalTime>
  <ScaleCrop>false</ScaleCrop>
  <LinksUpToDate>false</LinksUpToDate>
  <CharactersWithSpaces>3280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2022-03-30T07:44:00Z</cp:lastPrinted>
  <dcterms:modified xsi:type="dcterms:W3CDTF">2025-12-22T03:05:27Z</dcterms:modified>
  <cp:revision>360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7E43DB79FB114D6EB99798AA8FEFC7D6</vt:lpwstr>
  </property>
  <property fmtid="{D5CDD505-2E9C-101B-9397-08002B2CF9AE}" pid="4" name="KSOTemplateDocerSaveRecord">
    <vt:lpwstr>eyJoZGlkIjoiNzMzNGFhYTQwZDVjNjVmMDFlMTAxYjIwOTljNDhhZWQiLCJ1c2VySWQiOiIyMDEzOTMzNTkifQ==</vt:lpwstr>
  </property>
</Properties>
</file>