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DA855">
      <w:pPr>
        <w:spacing w:line="600" w:lineRule="exact"/>
        <w:rPr>
          <w:rFonts w:ascii="仿宋_GB2312" w:eastAsia="仿宋_GB2312"/>
          <w:sz w:val="32"/>
          <w:szCs w:val="32"/>
        </w:rPr>
      </w:pPr>
      <w:bookmarkStart w:id="0" w:name="_GoBack"/>
      <w:bookmarkEnd w:id="0"/>
    </w:p>
    <w:p w14:paraId="76493C7E">
      <w:pPr>
        <w:widowControl/>
        <w:spacing w:line="330" w:lineRule="atLeast"/>
        <w:jc w:val="center"/>
        <w:rPr>
          <w:rFonts w:ascii="仿宋" w:hAnsi="仿宋" w:eastAsia="仿宋"/>
          <w:b/>
          <w:bCs/>
          <w:color w:val="000000"/>
          <w:sz w:val="36"/>
          <w:szCs w:val="36"/>
        </w:rPr>
      </w:pPr>
      <w:r>
        <w:rPr>
          <w:rFonts w:hint="eastAsia" w:ascii="仿宋" w:hAnsi="仿宋" w:eastAsia="仿宋" w:cs="仿宋"/>
          <w:b/>
          <w:bCs/>
          <w:sz w:val="36"/>
          <w:szCs w:val="36"/>
        </w:rPr>
        <w:t>高新区投资促进局</w:t>
      </w:r>
      <w:r>
        <w:rPr>
          <w:rFonts w:ascii="仿宋" w:hAnsi="仿宋" w:eastAsia="仿宋" w:cs="仿宋"/>
          <w:b/>
          <w:bCs/>
          <w:color w:val="000000"/>
          <w:kern w:val="0"/>
          <w:sz w:val="36"/>
          <w:szCs w:val="36"/>
        </w:rPr>
        <w:t>202</w:t>
      </w:r>
      <w:r>
        <w:rPr>
          <w:rFonts w:hint="eastAsia" w:ascii="仿宋" w:hAnsi="仿宋" w:eastAsia="仿宋" w:cs="仿宋"/>
          <w:b/>
          <w:bCs/>
          <w:color w:val="000000"/>
          <w:kern w:val="0"/>
          <w:sz w:val="36"/>
          <w:szCs w:val="36"/>
        </w:rPr>
        <w:t>3年部门预算</w:t>
      </w:r>
    </w:p>
    <w:p w14:paraId="4A0D5645">
      <w:pPr>
        <w:widowControl/>
        <w:spacing w:line="330" w:lineRule="atLeast"/>
        <w:jc w:val="left"/>
        <w:rPr>
          <w:rFonts w:ascii="Verdana" w:hAnsi="Verdana" w:eastAsia="仿宋"/>
          <w:color w:val="000000"/>
          <w:kern w:val="0"/>
          <w:sz w:val="30"/>
          <w:szCs w:val="30"/>
        </w:rPr>
      </w:pPr>
      <w:r>
        <w:rPr>
          <w:rFonts w:ascii="Verdana" w:hAnsi="Verdana" w:eastAsia="仿宋"/>
          <w:color w:val="000000"/>
          <w:kern w:val="0"/>
          <w:sz w:val="30"/>
          <w:szCs w:val="30"/>
        </w:rPr>
        <w:t> </w:t>
      </w:r>
    </w:p>
    <w:p w14:paraId="56B9CA61">
      <w:pPr>
        <w:widowControl/>
        <w:spacing w:line="56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第一部分</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部门概况</w:t>
      </w:r>
    </w:p>
    <w:p w14:paraId="42036608">
      <w:pPr>
        <w:rPr>
          <w:rFonts w:ascii="仿宋" w:hAnsi="仿宋" w:eastAsia="仿宋" w:cs="仿宋"/>
          <w:sz w:val="32"/>
          <w:szCs w:val="32"/>
        </w:rPr>
      </w:pPr>
      <w:r>
        <w:rPr>
          <w:rFonts w:hint="eastAsia" w:ascii="仿宋" w:hAnsi="仿宋" w:eastAsia="仿宋" w:cs="仿宋"/>
          <w:sz w:val="32"/>
          <w:szCs w:val="32"/>
        </w:rPr>
        <w:t>一、主要职责</w:t>
      </w:r>
    </w:p>
    <w:p w14:paraId="04C62283">
      <w:pPr>
        <w:rPr>
          <w:rFonts w:ascii="仿宋" w:hAnsi="仿宋" w:eastAsia="仿宋" w:cs="仿宋"/>
          <w:sz w:val="32"/>
          <w:szCs w:val="32"/>
        </w:rPr>
      </w:pPr>
      <w:r>
        <w:rPr>
          <w:rFonts w:hint="eastAsia" w:ascii="仿宋" w:hAnsi="仿宋" w:eastAsia="仿宋" w:cs="仿宋"/>
          <w:sz w:val="32"/>
          <w:szCs w:val="32"/>
        </w:rPr>
        <w:t xml:space="preserve">    （一）贯彻落实国家、省、市关于对外开放、对内合作等方面的战略部署、方针政策和法律法规，以及高新区党工委、管委会的招商引资工作部署和要求，承接省、市各级政府下达给高新区管委会的各项招商引资任务指标，承担指导招商公司开展招商引资，以及统筹高新区对外开放、经贸合作、商业流通、外事管理、贸易促进等相关业务管理工作。</w:t>
      </w:r>
    </w:p>
    <w:p w14:paraId="72F41DAD">
      <w:pPr>
        <w:rPr>
          <w:rFonts w:ascii="仿宋" w:hAnsi="仿宋" w:eastAsia="仿宋" w:cs="仿宋"/>
          <w:sz w:val="32"/>
          <w:szCs w:val="32"/>
        </w:rPr>
      </w:pPr>
      <w:r>
        <w:rPr>
          <w:rFonts w:hint="eastAsia" w:ascii="仿宋" w:hAnsi="仿宋" w:eastAsia="仿宋" w:cs="仿宋"/>
          <w:sz w:val="32"/>
          <w:szCs w:val="32"/>
        </w:rPr>
        <w:t xml:space="preserve">    （二)负责指导招商公司开展各项招商引资工作，包括但不限于拟订内资、外资招商计划，开展产业调研，拟订、兑现招商政策，组织招商活动，搭建招商网络，开拓项目资源，跟踪洽谈项目，签订项目协议，推进项目落地等，协调各级部门、各类资源指导协助招商公司完成各项招商引资任务指标，并对招商公司工作完成情况进行监督管理和绩效考核。</w:t>
      </w:r>
    </w:p>
    <w:p w14:paraId="636AC3AD">
      <w:pPr>
        <w:rPr>
          <w:rFonts w:ascii="仿宋" w:hAnsi="仿宋" w:eastAsia="仿宋" w:cs="仿宋"/>
          <w:sz w:val="32"/>
          <w:szCs w:val="32"/>
        </w:rPr>
      </w:pPr>
      <w:r>
        <w:rPr>
          <w:rFonts w:hint="eastAsia" w:ascii="仿宋" w:hAnsi="仿宋" w:eastAsia="仿宋" w:cs="仿宋"/>
          <w:sz w:val="32"/>
          <w:szCs w:val="32"/>
        </w:rPr>
        <w:t xml:space="preserve">    (三）负责高新区对外开放和经济合作相关工作。研究拟订高新区对内、对外开放和经济合作的发展战略，指导、协调、促进国际、国内省市之问的经济合作交流。规范对外开放经营秩序，组织、指导和管理企业对外开放，监测、分析对外开放经济运行情况，以及对外开放行政审批和外商投资企业事中事后监管等相关工作。</w:t>
      </w:r>
    </w:p>
    <w:p w14:paraId="54350ED7">
      <w:pPr>
        <w:rPr>
          <w:rFonts w:ascii="仿宋" w:hAnsi="仿宋" w:eastAsia="仿宋" w:cs="仿宋"/>
          <w:sz w:val="32"/>
          <w:szCs w:val="32"/>
        </w:rPr>
      </w:pPr>
      <w:r>
        <w:rPr>
          <w:rFonts w:hint="eastAsia" w:ascii="仿宋" w:hAnsi="仿宋" w:eastAsia="仿宋" w:cs="仿宋"/>
          <w:sz w:val="32"/>
          <w:szCs w:val="32"/>
        </w:rPr>
        <w:t xml:space="preserve">    （四）负责高新区外贸管理相关工作。推进高新区外贸进出口发展，指导协调企业开展外贸进出口业务；推进高新区电子商务与跨境电商产业发展；推进高新区服务贸易产业发展研究，推广新型贸易方式，全面推动国家数字服务出口基地建设；统计外贸进出口、跨境电商、服务贸易等运行数据，研究分析并监测其发展情況；执行外贸出口、服务贸易、跨境电商等各级奖励政策，开展政策兑现的审核和拨付工作。</w:t>
      </w:r>
    </w:p>
    <w:p w14:paraId="1B3C4A32">
      <w:pPr>
        <w:rPr>
          <w:rFonts w:ascii="仿宋" w:hAnsi="仿宋" w:eastAsia="仿宋" w:cs="仿宋"/>
          <w:sz w:val="32"/>
          <w:szCs w:val="32"/>
        </w:rPr>
      </w:pPr>
      <w:r>
        <w:rPr>
          <w:rFonts w:hint="eastAsia" w:ascii="仿宋" w:hAnsi="仿宋" w:eastAsia="仿宋" w:cs="仿宋"/>
          <w:sz w:val="32"/>
          <w:szCs w:val="32"/>
        </w:rPr>
        <w:t xml:space="preserve">    （五）负责高新区商贸流通及市场运行管理相关工作。推进高新区商贸流通工作，组织、协调城乡商贸市场体系建设和发展;推进商贸流通领域对外开放工作；承担“菜篮子”工程建设以及“老宇号” 等商贸品牌建设和保护工作。推进高新区市场运行管理工作，监测分析市场运行、商品供求状况，进行预测预警和信息引导；对旧货流通及商业特许经营、直销等进行监督管理。推进高新区整顿和规范市场经济秩序工作，推进行业信用建设、安全生产建设以及食品安全工作。指导商贸流通、市场运行方面的行政审批以及商务行政执法工作。</w:t>
      </w:r>
    </w:p>
    <w:p w14:paraId="12477EC9">
      <w:pPr>
        <w:rPr>
          <w:rFonts w:ascii="仿宋" w:hAnsi="仿宋" w:eastAsia="仿宋" w:cs="仿宋"/>
          <w:sz w:val="32"/>
          <w:szCs w:val="32"/>
        </w:rPr>
      </w:pPr>
      <w:r>
        <w:rPr>
          <w:rFonts w:hint="eastAsia" w:ascii="仿宋" w:hAnsi="仿宋" w:eastAsia="仿宋" w:cs="仿宋"/>
          <w:sz w:val="32"/>
          <w:szCs w:val="32"/>
        </w:rPr>
        <w:t xml:space="preserve">    （六）负责高新区外事管理相关工作。超草高新区重要外事规定，拟订并组织实施外事工作管理制度；拟订全区因公出国（境）计划，归口管理全区因公出国及赴港澳手续办理等工作;组织召开高新区外事管理委员会会议；受理、指导全区外国人来华邀请函和 APEC 商务旅行卡的申办、审核工作；协调我区重大外事、涉外活动及翻译相关工作，处理或协助市外办等相关部门处理重要的涉外事务等。</w:t>
      </w:r>
    </w:p>
    <w:p w14:paraId="069F9E84">
      <w:pPr>
        <w:ind w:firstLine="640" w:firstLineChars="200"/>
        <w:rPr>
          <w:rFonts w:ascii="仿宋" w:hAnsi="仿宋" w:eastAsia="仿宋" w:cs="仿宋"/>
          <w:sz w:val="32"/>
          <w:szCs w:val="32"/>
        </w:rPr>
      </w:pPr>
      <w:r>
        <w:rPr>
          <w:rFonts w:hint="eastAsia" w:ascii="仿宋" w:hAnsi="仿宋" w:eastAsia="仿宋" w:cs="仿宋"/>
          <w:sz w:val="32"/>
          <w:szCs w:val="32"/>
        </w:rPr>
        <w:t>（七）负责指导协调高新区贸促会、对外友好协会、行业协会、企业商会等经济贸易促进组织机构的相关工作，为企业提供优质专业服务。负责政府指令性展览会议、经贸会议、培训活动的企业组织及布展会务等相关工作。负责建立政府、社会机构与企业间的联动服务机制，考察、走访和调研企业，为企业提供专业化服务，协调解决企业运营中存在的问题。</w:t>
      </w:r>
    </w:p>
    <w:p w14:paraId="5631D44D">
      <w:pPr>
        <w:ind w:firstLine="640" w:firstLineChars="200"/>
        <w:rPr>
          <w:rFonts w:ascii="仿宋" w:hAnsi="仿宋" w:eastAsia="仿宋" w:cs="仿宋"/>
          <w:sz w:val="32"/>
          <w:szCs w:val="32"/>
        </w:rPr>
      </w:pPr>
      <w:r>
        <w:rPr>
          <w:rFonts w:hint="eastAsia" w:ascii="仿宋" w:hAnsi="仿宋" w:eastAsia="仿宋" w:cs="仿宋"/>
          <w:sz w:val="32"/>
          <w:szCs w:val="32"/>
        </w:rPr>
        <w:t>(八）负责完成区党工委、管委会交办的其他任务。</w:t>
      </w:r>
    </w:p>
    <w:p w14:paraId="376EDC77">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二、部门预算单位构成</w:t>
      </w:r>
    </w:p>
    <w:p w14:paraId="21D264AF">
      <w:pPr>
        <w:ind w:firstLine="640" w:firstLineChars="200"/>
        <w:rPr>
          <w:rFonts w:ascii="仿宋" w:hAnsi="仿宋" w:eastAsia="仿宋" w:cs="仿宋"/>
          <w:color w:val="000000"/>
          <w:kern w:val="0"/>
          <w:sz w:val="32"/>
          <w:szCs w:val="32"/>
        </w:rPr>
      </w:pPr>
      <w:r>
        <w:rPr>
          <w:rFonts w:hint="eastAsia" w:ascii="仿宋" w:hAnsi="仿宋" w:eastAsia="仿宋" w:cs="仿宋"/>
          <w:sz w:val="32"/>
          <w:szCs w:val="32"/>
        </w:rPr>
        <w:t>按照综合预算的原则，本部门所有收入和支出均纳入部门预算管理，本部门中，行政单位1家，事业单位1家，具体包括：大连高新技术产业园区投资促进局（本级），大连高新技术产业园区投资促进服务中心。</w:t>
      </w:r>
    </w:p>
    <w:p w14:paraId="589F1B8B">
      <w:pPr>
        <w:widowControl/>
        <w:spacing w:line="56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第二部分</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部门预算情况说明</w:t>
      </w:r>
    </w:p>
    <w:p w14:paraId="23D8A38A">
      <w:pPr>
        <w:widowControl/>
        <w:spacing w:line="560" w:lineRule="exact"/>
        <w:ind w:firstLine="640" w:firstLineChars="200"/>
        <w:jc w:val="left"/>
        <w:rPr>
          <w:rFonts w:ascii="仿宋" w:hAnsi="仿宋" w:eastAsia="仿宋"/>
          <w:color w:val="000000"/>
          <w:sz w:val="32"/>
          <w:szCs w:val="32"/>
        </w:rPr>
      </w:pPr>
      <w:r>
        <w:rPr>
          <w:rFonts w:hint="eastAsia" w:ascii="仿宋" w:hAnsi="仿宋" w:eastAsia="仿宋" w:cs="仿宋"/>
          <w:color w:val="000000"/>
          <w:kern w:val="0"/>
          <w:sz w:val="32"/>
          <w:szCs w:val="32"/>
        </w:rPr>
        <w:t>一、总体说明</w:t>
      </w:r>
    </w:p>
    <w:p w14:paraId="550D079D">
      <w:pPr>
        <w:widowControl/>
        <w:spacing w:line="560" w:lineRule="exact"/>
        <w:ind w:firstLine="640" w:firstLineChars="200"/>
        <w:jc w:val="left"/>
        <w:rPr>
          <w:rFonts w:ascii="仿宋" w:hAnsi="仿宋" w:eastAsia="仿宋" w:cs="仿宋"/>
          <w:sz w:val="32"/>
          <w:szCs w:val="32"/>
        </w:rPr>
      </w:pPr>
      <w:r>
        <w:rPr>
          <w:rFonts w:hint="eastAsia" w:ascii="仿宋" w:hAnsi="仿宋" w:eastAsia="仿宋" w:cs="仿宋"/>
          <w:color w:val="000000"/>
          <w:kern w:val="0"/>
          <w:sz w:val="32"/>
          <w:szCs w:val="32"/>
        </w:rPr>
        <w:t>按照综合预算的原则，本部门所有收入和支出均纳入部门预算管理。收入包括：财政拨款收入1910.64万元，其中包括一般公共预算拨款收入1844.82万元，上年结转结余65.82万元；支出包括：工资福利和对个人家庭补助支出608.23万元，</w:t>
      </w:r>
      <w:r>
        <w:rPr>
          <w:rFonts w:hint="eastAsia" w:ascii="仿宋" w:hAnsi="仿宋" w:eastAsia="仿宋" w:cs="仿宋"/>
          <w:sz w:val="32"/>
          <w:szCs w:val="32"/>
        </w:rPr>
        <w:t>商品和服务支出669.61万元，对企业补助632.8万元，其中专项经费1277.95万元。</w:t>
      </w:r>
      <w:r>
        <w:rPr>
          <w:rFonts w:hint="eastAsia" w:ascii="仿宋" w:hAnsi="仿宋" w:eastAsia="仿宋" w:cs="仿宋"/>
          <w:color w:val="000000"/>
          <w:kern w:val="0"/>
          <w:sz w:val="32"/>
          <w:szCs w:val="32"/>
        </w:rPr>
        <w:t>全部为一般公共预算收支，无政府性基金预算收支，无国有资本经营预算收支。比</w:t>
      </w:r>
      <w:r>
        <w:rPr>
          <w:rFonts w:ascii="仿宋" w:hAnsi="仿宋" w:eastAsia="仿宋" w:cs="仿宋"/>
          <w:color w:val="000000"/>
          <w:kern w:val="0"/>
          <w:sz w:val="32"/>
          <w:szCs w:val="32"/>
        </w:rPr>
        <w:t>20</w:t>
      </w:r>
      <w:r>
        <w:rPr>
          <w:rFonts w:hint="eastAsia" w:ascii="仿宋" w:hAnsi="仿宋" w:eastAsia="仿宋" w:cs="仿宋"/>
          <w:color w:val="000000"/>
          <w:kern w:val="0"/>
          <w:sz w:val="32"/>
          <w:szCs w:val="32"/>
        </w:rPr>
        <w:t>22年预算数减少24326.17万元，其中工资福利和对个人家庭补助支出减少257.29万元，</w:t>
      </w:r>
      <w:r>
        <w:rPr>
          <w:rFonts w:hint="eastAsia" w:ascii="仿宋" w:hAnsi="仿宋" w:eastAsia="仿宋" w:cs="仿宋"/>
          <w:sz w:val="32"/>
          <w:szCs w:val="32"/>
        </w:rPr>
        <w:t>商品和服务支出</w:t>
      </w:r>
      <w:r>
        <w:rPr>
          <w:rFonts w:hint="eastAsia" w:ascii="仿宋" w:hAnsi="仿宋" w:eastAsia="仿宋" w:cs="仿宋"/>
          <w:color w:val="000000"/>
          <w:kern w:val="0"/>
          <w:sz w:val="32"/>
          <w:szCs w:val="32"/>
        </w:rPr>
        <w:t>减少</w:t>
      </w:r>
      <w:r>
        <w:rPr>
          <w:rFonts w:hint="eastAsia" w:ascii="仿宋" w:hAnsi="仿宋" w:eastAsia="仿宋" w:cs="仿宋"/>
          <w:sz w:val="32"/>
          <w:szCs w:val="32"/>
        </w:rPr>
        <w:t>7773.78万元,企业补助减少16295.1万元。</w:t>
      </w:r>
    </w:p>
    <w:p w14:paraId="3F2A0E96">
      <w:pPr>
        <w:widowControl/>
        <w:spacing w:line="560" w:lineRule="exact"/>
        <w:ind w:firstLine="640" w:firstLineChars="200"/>
        <w:jc w:val="left"/>
        <w:rPr>
          <w:rFonts w:ascii="仿宋" w:hAnsi="仿宋" w:eastAsia="仿宋"/>
          <w:color w:val="000000"/>
          <w:sz w:val="32"/>
          <w:szCs w:val="32"/>
        </w:rPr>
      </w:pPr>
      <w:r>
        <w:rPr>
          <w:rFonts w:hint="eastAsia" w:ascii="仿宋" w:hAnsi="仿宋" w:eastAsia="仿宋" w:cs="仿宋"/>
          <w:color w:val="000000"/>
          <w:kern w:val="0"/>
          <w:sz w:val="32"/>
          <w:szCs w:val="32"/>
        </w:rPr>
        <w:t>二、“三公”经费预算情况说明</w:t>
      </w:r>
    </w:p>
    <w:p w14:paraId="168AC9B2">
      <w:pPr>
        <w:spacing w:line="560" w:lineRule="exact"/>
        <w:ind w:firstLine="600" w:firstLineChars="200"/>
        <w:rPr>
          <w:rFonts w:ascii="仿宋" w:hAnsi="仿宋" w:eastAsia="仿宋" w:cs="仿宋"/>
          <w:sz w:val="32"/>
          <w:szCs w:val="32"/>
        </w:rPr>
      </w:pPr>
      <w:r>
        <w:rPr>
          <w:rFonts w:hint="eastAsia" w:ascii="仿宋" w:hAnsi="仿宋" w:eastAsia="仿宋"/>
          <w:sz w:val="30"/>
          <w:szCs w:val="30"/>
        </w:rPr>
        <w:t>无“三公”经费支出</w:t>
      </w:r>
      <w:r>
        <w:rPr>
          <w:rFonts w:hint="eastAsia" w:ascii="仿宋" w:hAnsi="仿宋" w:eastAsia="仿宋" w:cs="仿宋"/>
          <w:sz w:val="30"/>
          <w:szCs w:val="30"/>
        </w:rPr>
        <w:t>。</w:t>
      </w:r>
      <w:r>
        <w:rPr>
          <w:rFonts w:hint="eastAsia" w:ascii="仿宋" w:hAnsi="仿宋" w:eastAsia="仿宋" w:cs="仿宋"/>
          <w:sz w:val="32"/>
          <w:szCs w:val="32"/>
        </w:rPr>
        <w:t>主要是按照中央及市委、市政府关于厉行节约、改进工作作风、密切联系群众</w:t>
      </w:r>
      <w:r>
        <w:rPr>
          <w:rFonts w:hint="eastAsia" w:ascii="仿宋" w:hAnsi="仿宋" w:eastAsia="仿宋" w:cs="仿宋"/>
          <w:sz w:val="32"/>
          <w:szCs w:val="32"/>
          <w:lang w:eastAsia="zh-CN"/>
        </w:rPr>
        <w:t>中央八项规定</w:t>
      </w:r>
      <w:r>
        <w:rPr>
          <w:rFonts w:hint="eastAsia" w:ascii="仿宋" w:hAnsi="仿宋" w:eastAsia="仿宋" w:cs="仿宋"/>
          <w:sz w:val="32"/>
          <w:szCs w:val="32"/>
        </w:rPr>
        <w:t>等有关要求，严格控制“三公”经费支出。</w:t>
      </w:r>
    </w:p>
    <w:p w14:paraId="74182E88">
      <w:pPr>
        <w:widowControl/>
        <w:spacing w:line="560" w:lineRule="exact"/>
        <w:ind w:firstLine="640" w:firstLineChars="200"/>
        <w:jc w:val="left"/>
        <w:rPr>
          <w:rFonts w:ascii="仿宋" w:hAnsi="仿宋" w:eastAsia="仿宋"/>
          <w:color w:val="000000"/>
          <w:sz w:val="32"/>
          <w:szCs w:val="32"/>
        </w:rPr>
      </w:pPr>
      <w:r>
        <w:rPr>
          <w:rFonts w:hint="eastAsia" w:ascii="仿宋" w:hAnsi="仿宋" w:eastAsia="仿宋" w:cs="仿宋"/>
          <w:color w:val="000000"/>
          <w:kern w:val="0"/>
          <w:sz w:val="32"/>
          <w:szCs w:val="32"/>
        </w:rPr>
        <w:t>三、机关运行经费安排情况说明</w:t>
      </w:r>
    </w:p>
    <w:p w14:paraId="26066A61">
      <w:pPr>
        <w:widowControl/>
        <w:spacing w:line="330" w:lineRule="atLeast"/>
        <w:ind w:firstLine="640" w:firstLineChars="200"/>
        <w:jc w:val="left"/>
        <w:rPr>
          <w:rFonts w:ascii="仿宋" w:hAnsi="仿宋" w:eastAsia="仿宋"/>
          <w:color w:val="000000"/>
          <w:sz w:val="30"/>
          <w:szCs w:val="30"/>
        </w:rPr>
      </w:pPr>
      <w:r>
        <w:rPr>
          <w:rFonts w:hint="eastAsia" w:ascii="仿宋" w:hAnsi="仿宋" w:eastAsia="仿宋" w:cs="仿宋"/>
          <w:color w:val="000000"/>
          <w:kern w:val="0"/>
          <w:sz w:val="32"/>
          <w:szCs w:val="32"/>
        </w:rPr>
        <w:t>机关运行经费包括定额公用经费12.55万元。</w:t>
      </w:r>
      <w:r>
        <w:rPr>
          <w:rFonts w:hint="eastAsia" w:ascii="仿宋" w:hAnsi="仿宋" w:eastAsia="仿宋" w:cs="仿宋"/>
          <w:color w:val="000000"/>
          <w:kern w:val="0"/>
          <w:sz w:val="30"/>
          <w:szCs w:val="30"/>
        </w:rPr>
        <w:t>比去年增加0.15万元。主要是机构改革后的人员调整。</w:t>
      </w:r>
    </w:p>
    <w:p w14:paraId="62911FCB">
      <w:pPr>
        <w:widowControl/>
        <w:spacing w:line="560" w:lineRule="exact"/>
        <w:ind w:firstLine="640" w:firstLineChars="200"/>
        <w:jc w:val="left"/>
        <w:rPr>
          <w:rFonts w:ascii="仿宋" w:hAnsi="仿宋" w:eastAsia="仿宋"/>
          <w:color w:val="000000"/>
          <w:sz w:val="32"/>
          <w:szCs w:val="32"/>
        </w:rPr>
      </w:pPr>
      <w:r>
        <w:rPr>
          <w:rFonts w:hint="eastAsia" w:ascii="仿宋" w:hAnsi="仿宋" w:eastAsia="仿宋" w:cs="仿宋"/>
          <w:color w:val="000000"/>
          <w:kern w:val="0"/>
          <w:sz w:val="32"/>
          <w:szCs w:val="32"/>
        </w:rPr>
        <w:t>四、政府采购情况说明</w:t>
      </w:r>
    </w:p>
    <w:p w14:paraId="389B85F7">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无政府采购事项。</w:t>
      </w:r>
    </w:p>
    <w:p w14:paraId="0D384A72">
      <w:pPr>
        <w:widowControl/>
        <w:spacing w:line="56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五、政府性基金收支预算情况</w:t>
      </w:r>
    </w:p>
    <w:p w14:paraId="19E93607">
      <w:pPr>
        <w:widowControl/>
        <w:spacing w:line="56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无政府性基金预算收支。</w:t>
      </w:r>
    </w:p>
    <w:p w14:paraId="1F545330">
      <w:pPr>
        <w:spacing w:line="560" w:lineRule="exact"/>
        <w:ind w:firstLine="640" w:firstLineChars="200"/>
        <w:rPr>
          <w:rFonts w:ascii="仿宋" w:hAnsi="仿宋" w:eastAsia="仿宋"/>
          <w:sz w:val="32"/>
          <w:szCs w:val="32"/>
        </w:rPr>
      </w:pPr>
      <w:r>
        <w:rPr>
          <w:rFonts w:hint="eastAsia" w:ascii="仿宋" w:hAnsi="仿宋" w:eastAsia="仿宋"/>
          <w:sz w:val="32"/>
          <w:szCs w:val="32"/>
        </w:rPr>
        <w:t>六、国有资产占有使用情况说明</w:t>
      </w:r>
    </w:p>
    <w:p w14:paraId="0504B632">
      <w:pPr>
        <w:widowControl/>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国有资产占有使用情况说明为：截至2022年12月31日，部门（单位）共有车辆0辆；单位价值50万元（含）以上通用设备1台（套）；单位价值100万元以上专用设备0台（套）。</w:t>
      </w:r>
    </w:p>
    <w:p w14:paraId="7DBCDF4A">
      <w:pPr>
        <w:widowControl/>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七、预算绩效管理情况</w:t>
      </w:r>
    </w:p>
    <w:p w14:paraId="0A0AED08">
      <w:pPr>
        <w:widowControl/>
        <w:spacing w:line="560" w:lineRule="exact"/>
        <w:ind w:firstLine="640" w:firstLineChars="200"/>
        <w:jc w:val="left"/>
        <w:rPr>
          <w:rFonts w:ascii="仿宋" w:hAnsi="仿宋" w:eastAsia="仿宋" w:cs="仿宋"/>
          <w:kern w:val="0"/>
          <w:sz w:val="32"/>
          <w:szCs w:val="32"/>
        </w:rPr>
      </w:pPr>
      <w:r>
        <w:rPr>
          <w:rFonts w:ascii="仿宋" w:hAnsi="仿宋" w:eastAsia="仿宋" w:cs="仿宋"/>
          <w:kern w:val="0"/>
          <w:sz w:val="32"/>
          <w:szCs w:val="32"/>
        </w:rPr>
        <w:t>20</w:t>
      </w:r>
      <w:r>
        <w:rPr>
          <w:rFonts w:hint="eastAsia" w:ascii="仿宋" w:hAnsi="仿宋" w:eastAsia="仿宋" w:cs="仿宋"/>
          <w:kern w:val="0"/>
          <w:sz w:val="32"/>
          <w:szCs w:val="32"/>
        </w:rPr>
        <w:t>23年，按照“先有绩效，后有预算”原则，本部门共计编制绩效目标6个，预算金额1028.13万元，占项目支出预算比重</w:t>
      </w:r>
      <w:r>
        <w:rPr>
          <w:rFonts w:ascii="仿宋" w:hAnsi="仿宋" w:eastAsia="仿宋" w:cs="仿宋"/>
          <w:kern w:val="0"/>
          <w:sz w:val="32"/>
          <w:szCs w:val="32"/>
        </w:rPr>
        <w:t>100%</w:t>
      </w:r>
      <w:r>
        <w:rPr>
          <w:rFonts w:hint="eastAsia" w:ascii="仿宋" w:hAnsi="仿宋" w:eastAsia="仿宋" w:cs="仿宋"/>
          <w:kern w:val="0"/>
          <w:sz w:val="32"/>
          <w:szCs w:val="32"/>
        </w:rPr>
        <w:t>。</w:t>
      </w:r>
    </w:p>
    <w:p w14:paraId="56498923">
      <w:pPr>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八、大连市高新区商业规划经费预算情况</w:t>
      </w:r>
    </w:p>
    <w:p w14:paraId="17B6A964">
      <w:pPr>
        <w:rPr>
          <w:rFonts w:ascii="仿宋" w:hAnsi="仿宋" w:eastAsia="仿宋" w:cs="仿宋"/>
          <w:sz w:val="32"/>
          <w:szCs w:val="32"/>
        </w:rPr>
      </w:pPr>
      <w:r>
        <w:rPr>
          <w:rFonts w:hint="eastAsia" w:ascii="仿宋" w:hAnsi="仿宋" w:eastAsia="仿宋"/>
          <w:bCs/>
          <w:sz w:val="32"/>
          <w:szCs w:val="32"/>
        </w:rPr>
        <w:t xml:space="preserve">     </w:t>
      </w:r>
      <w:r>
        <w:rPr>
          <w:rFonts w:hint="eastAsia" w:ascii="仿宋" w:hAnsi="仿宋" w:eastAsia="仿宋" w:cs="仿宋"/>
          <w:sz w:val="32"/>
          <w:szCs w:val="32"/>
        </w:rPr>
        <w:t>1.项目概述</w:t>
      </w:r>
    </w:p>
    <w:p w14:paraId="072F0D6C">
      <w:pPr>
        <w:rPr>
          <w:rFonts w:ascii="仿宋" w:hAnsi="仿宋" w:eastAsia="仿宋" w:cs="仿宋"/>
          <w:sz w:val="32"/>
          <w:szCs w:val="32"/>
        </w:rPr>
      </w:pPr>
      <w:r>
        <w:rPr>
          <w:rFonts w:hint="eastAsia" w:ascii="仿宋" w:hAnsi="仿宋" w:eastAsia="仿宋" w:cs="仿宋"/>
          <w:sz w:val="32"/>
          <w:szCs w:val="32"/>
        </w:rPr>
        <w:t xml:space="preserve">    为促进高新区商业结构升级，满足高新区人民日益增长的美好生活需要，进一步带动高新区夜经济发展，拟结合大连市统一安排和高新区实际情况编制高新区商业规划。通过编制商业规划，首先有助于科学谋划高新区整体商业布局，为今后的各类商业业态的引入、建设提供科学规划指导和研判依据；其次，园区可借助此次规划编制工作，系统梳理高新区现有商业主体和业态，建立数字化管理台账，为招商引资工作提供参考。</w:t>
      </w:r>
    </w:p>
    <w:p w14:paraId="7EEC98CF">
      <w:pPr>
        <w:numPr>
          <w:ilvl w:val="0"/>
          <w:numId w:val="1"/>
        </w:numPr>
        <w:ind w:firstLine="640" w:firstLineChars="200"/>
        <w:rPr>
          <w:rFonts w:ascii="仿宋" w:hAnsi="仿宋" w:eastAsia="仿宋" w:cs="仿宋"/>
          <w:sz w:val="32"/>
          <w:szCs w:val="32"/>
        </w:rPr>
      </w:pPr>
      <w:r>
        <w:rPr>
          <w:rFonts w:hint="eastAsia" w:ascii="仿宋" w:hAnsi="仿宋" w:eastAsia="仿宋" w:cs="仿宋"/>
          <w:sz w:val="32"/>
          <w:szCs w:val="32"/>
        </w:rPr>
        <w:t>立项依据</w:t>
      </w:r>
    </w:p>
    <w:p w14:paraId="116D8B48">
      <w:pPr>
        <w:rPr>
          <w:rFonts w:ascii="仿宋" w:hAnsi="仿宋" w:eastAsia="仿宋" w:cs="仿宋"/>
          <w:sz w:val="32"/>
          <w:szCs w:val="32"/>
        </w:rPr>
      </w:pPr>
      <w:r>
        <w:rPr>
          <w:rFonts w:hint="eastAsia" w:ascii="仿宋" w:hAnsi="仿宋" w:eastAsia="仿宋" w:cs="仿宋"/>
          <w:sz w:val="32"/>
          <w:szCs w:val="32"/>
        </w:rPr>
        <w:t xml:space="preserve">    （1）《大连市商业网点规划（2020-2035 年）》</w:t>
      </w:r>
    </w:p>
    <w:p w14:paraId="1627EB2B">
      <w:pPr>
        <w:rPr>
          <w:rFonts w:ascii="仿宋" w:hAnsi="仿宋" w:eastAsia="仿宋" w:cs="仿宋"/>
          <w:sz w:val="32"/>
          <w:szCs w:val="32"/>
        </w:rPr>
      </w:pPr>
      <w:r>
        <w:rPr>
          <w:rFonts w:hint="eastAsia" w:ascii="仿宋" w:hAnsi="仿宋" w:eastAsia="仿宋" w:cs="仿宋"/>
          <w:sz w:val="32"/>
          <w:szCs w:val="32"/>
        </w:rPr>
        <w:t xml:space="preserve">    （2）《大连市菜篮子零售网点规划（2021-2035）》</w:t>
      </w:r>
    </w:p>
    <w:p w14:paraId="27693D06">
      <w:pPr>
        <w:rPr>
          <w:rFonts w:ascii="仿宋" w:hAnsi="仿宋" w:eastAsia="仿宋" w:cs="仿宋"/>
          <w:sz w:val="32"/>
          <w:szCs w:val="32"/>
        </w:rPr>
      </w:pPr>
      <w:r>
        <w:rPr>
          <w:rFonts w:hint="eastAsia" w:ascii="仿宋" w:hAnsi="仿宋" w:eastAsia="仿宋" w:cs="仿宋"/>
          <w:sz w:val="32"/>
          <w:szCs w:val="32"/>
        </w:rPr>
        <w:t xml:space="preserve">    3.实施主体</w:t>
      </w:r>
    </w:p>
    <w:p w14:paraId="3E88B11B">
      <w:pPr>
        <w:rPr>
          <w:rFonts w:ascii="仿宋" w:hAnsi="仿宋" w:eastAsia="仿宋" w:cs="仿宋"/>
          <w:sz w:val="32"/>
          <w:szCs w:val="32"/>
        </w:rPr>
      </w:pPr>
      <w:r>
        <w:rPr>
          <w:rFonts w:hint="eastAsia" w:ascii="仿宋" w:hAnsi="仿宋" w:eastAsia="仿宋" w:cs="仿宋"/>
          <w:sz w:val="32"/>
          <w:szCs w:val="32"/>
        </w:rPr>
        <w:t xml:space="preserve">    高新区商务主管部门</w:t>
      </w:r>
    </w:p>
    <w:p w14:paraId="75E50414">
      <w:pPr>
        <w:rPr>
          <w:rFonts w:ascii="仿宋" w:hAnsi="仿宋" w:eastAsia="仿宋" w:cs="仿宋"/>
          <w:sz w:val="32"/>
          <w:szCs w:val="32"/>
        </w:rPr>
      </w:pPr>
      <w:r>
        <w:rPr>
          <w:rFonts w:hint="eastAsia" w:ascii="仿宋" w:hAnsi="仿宋" w:eastAsia="仿宋" w:cs="仿宋"/>
          <w:sz w:val="32"/>
          <w:szCs w:val="32"/>
        </w:rPr>
        <w:t xml:space="preserve">    4.实施方案</w:t>
      </w:r>
    </w:p>
    <w:p w14:paraId="11C68E98">
      <w:pPr>
        <w:rPr>
          <w:rFonts w:ascii="仿宋" w:hAnsi="仿宋" w:eastAsia="仿宋" w:cs="仿宋"/>
          <w:sz w:val="32"/>
          <w:szCs w:val="32"/>
        </w:rPr>
      </w:pPr>
      <w:r>
        <w:rPr>
          <w:rFonts w:hint="eastAsia" w:ascii="仿宋" w:hAnsi="仿宋" w:eastAsia="仿宋" w:cs="仿宋"/>
          <w:sz w:val="32"/>
          <w:szCs w:val="32"/>
        </w:rPr>
        <w:t xml:space="preserve">    任务分解成三阶段，分阶段实施并取得阶段成果。</w:t>
      </w:r>
    </w:p>
    <w:p w14:paraId="54EF4B6C">
      <w:pPr>
        <w:rPr>
          <w:rFonts w:ascii="仿宋" w:hAnsi="仿宋" w:eastAsia="仿宋" w:cs="仿宋"/>
          <w:sz w:val="32"/>
          <w:szCs w:val="32"/>
        </w:rPr>
      </w:pPr>
      <w:r>
        <w:rPr>
          <w:rFonts w:hint="eastAsia" w:ascii="仿宋" w:hAnsi="仿宋" w:eastAsia="仿宋" w:cs="仿宋"/>
          <w:sz w:val="32"/>
          <w:szCs w:val="32"/>
        </w:rPr>
        <w:t xml:space="preserve">    第一阶段：数据汇融及普查阶段</w:t>
      </w:r>
    </w:p>
    <w:p w14:paraId="22188317">
      <w:pPr>
        <w:rPr>
          <w:rFonts w:ascii="仿宋" w:hAnsi="仿宋" w:eastAsia="仿宋" w:cs="仿宋"/>
          <w:sz w:val="32"/>
          <w:szCs w:val="32"/>
        </w:rPr>
      </w:pPr>
      <w:r>
        <w:rPr>
          <w:rFonts w:hint="eastAsia" w:ascii="仿宋" w:hAnsi="仿宋" w:eastAsia="仿宋" w:cs="仿宋"/>
          <w:sz w:val="32"/>
          <w:szCs w:val="32"/>
        </w:rPr>
        <w:t xml:space="preserve">    核心内容及成果：整合已有数据、开展高新区商业普查，做数据汇融，建立高新区现有商业网点的数字化台账，部分数据实现可视化展示。</w:t>
      </w:r>
    </w:p>
    <w:p w14:paraId="15BF37A2">
      <w:pPr>
        <w:rPr>
          <w:rFonts w:ascii="仿宋" w:hAnsi="仿宋" w:eastAsia="仿宋" w:cs="仿宋"/>
          <w:sz w:val="32"/>
          <w:szCs w:val="32"/>
        </w:rPr>
      </w:pPr>
      <w:r>
        <w:rPr>
          <w:rFonts w:hint="eastAsia" w:ascii="仿宋" w:hAnsi="仿宋" w:eastAsia="仿宋" w:cs="仿宋"/>
          <w:sz w:val="32"/>
          <w:szCs w:val="32"/>
        </w:rPr>
        <w:t xml:space="preserve">    第二阶段：消费者专项调查阶段</w:t>
      </w:r>
    </w:p>
    <w:p w14:paraId="6BDC0753">
      <w:pPr>
        <w:rPr>
          <w:rFonts w:ascii="仿宋" w:hAnsi="仿宋" w:eastAsia="仿宋" w:cs="仿宋"/>
          <w:sz w:val="32"/>
          <w:szCs w:val="32"/>
        </w:rPr>
      </w:pPr>
      <w:r>
        <w:rPr>
          <w:rFonts w:hint="eastAsia" w:ascii="仿宋" w:hAnsi="仿宋" w:eastAsia="仿宋" w:cs="仿宋"/>
          <w:sz w:val="32"/>
          <w:szCs w:val="32"/>
        </w:rPr>
        <w:t xml:space="preserve">    核心内容及成果：科学设计问卷并完成高新区消费者专项问卷调查，分析调查结果为高新区商业规划、招商引资提供数据支持。</w:t>
      </w:r>
    </w:p>
    <w:p w14:paraId="5E1B8E7D">
      <w:pPr>
        <w:rPr>
          <w:rFonts w:ascii="仿宋" w:hAnsi="仿宋" w:eastAsia="仿宋" w:cs="仿宋"/>
          <w:sz w:val="32"/>
          <w:szCs w:val="32"/>
        </w:rPr>
      </w:pPr>
      <w:r>
        <w:rPr>
          <w:rFonts w:hint="eastAsia" w:ascii="仿宋" w:hAnsi="仿宋" w:eastAsia="仿宋" w:cs="仿宋"/>
          <w:sz w:val="32"/>
          <w:szCs w:val="32"/>
        </w:rPr>
        <w:t xml:space="preserve">    第三阶段：规划成果阶段</w:t>
      </w:r>
    </w:p>
    <w:p w14:paraId="2BEFCE75">
      <w:pPr>
        <w:rPr>
          <w:rFonts w:ascii="仿宋" w:hAnsi="仿宋" w:eastAsia="仿宋" w:cs="仿宋"/>
          <w:sz w:val="32"/>
          <w:szCs w:val="32"/>
        </w:rPr>
      </w:pPr>
      <w:r>
        <w:rPr>
          <w:rFonts w:hint="eastAsia" w:ascii="仿宋" w:hAnsi="仿宋" w:eastAsia="仿宋" w:cs="仿宋"/>
          <w:sz w:val="32"/>
          <w:szCs w:val="32"/>
        </w:rPr>
        <w:t xml:space="preserve">    核心内容及成果：结合定性研究和定量研究，形成《大连高新区商业规划报告》。</w:t>
      </w:r>
    </w:p>
    <w:p w14:paraId="6988807C">
      <w:pPr>
        <w:rPr>
          <w:rFonts w:ascii="仿宋" w:hAnsi="仿宋" w:eastAsia="仿宋" w:cs="仿宋"/>
          <w:sz w:val="32"/>
          <w:szCs w:val="32"/>
        </w:rPr>
      </w:pPr>
      <w:r>
        <w:rPr>
          <w:rFonts w:hint="eastAsia" w:ascii="仿宋" w:hAnsi="仿宋" w:eastAsia="仿宋" w:cs="仿宋"/>
          <w:sz w:val="32"/>
          <w:szCs w:val="32"/>
        </w:rPr>
        <w:t xml:space="preserve">    5.实施周期</w:t>
      </w:r>
    </w:p>
    <w:p w14:paraId="587D246F">
      <w:pPr>
        <w:rPr>
          <w:rFonts w:ascii="仿宋" w:hAnsi="仿宋" w:eastAsia="仿宋" w:cs="仿宋"/>
          <w:sz w:val="32"/>
          <w:szCs w:val="32"/>
        </w:rPr>
      </w:pPr>
      <w:r>
        <w:rPr>
          <w:rFonts w:hint="eastAsia" w:ascii="仿宋" w:hAnsi="仿宋" w:eastAsia="仿宋" w:cs="仿宋"/>
          <w:sz w:val="32"/>
          <w:szCs w:val="32"/>
        </w:rPr>
        <w:t xml:space="preserve">    根据编制规划的具体安排而定。</w:t>
      </w:r>
    </w:p>
    <w:p w14:paraId="7901DB5F">
      <w:pPr>
        <w:rPr>
          <w:rFonts w:ascii="仿宋" w:hAnsi="仿宋" w:eastAsia="仿宋" w:cs="仿宋"/>
          <w:sz w:val="32"/>
          <w:szCs w:val="32"/>
        </w:rPr>
      </w:pPr>
      <w:r>
        <w:rPr>
          <w:rFonts w:hint="eastAsia" w:ascii="仿宋" w:hAnsi="仿宋" w:eastAsia="仿宋" w:cs="仿宋"/>
          <w:sz w:val="32"/>
          <w:szCs w:val="32"/>
        </w:rPr>
        <w:t xml:space="preserve">    6.年度预算安排 </w:t>
      </w:r>
    </w:p>
    <w:p w14:paraId="642AEAD5">
      <w:pPr>
        <w:rPr>
          <w:rFonts w:ascii="仿宋" w:hAnsi="仿宋" w:eastAsia="仿宋" w:cs="仿宋"/>
          <w:color w:val="FF0000"/>
          <w:kern w:val="0"/>
          <w:sz w:val="32"/>
          <w:szCs w:val="32"/>
        </w:rPr>
      </w:pPr>
      <w:r>
        <w:rPr>
          <w:rFonts w:hint="eastAsia" w:ascii="仿宋" w:hAnsi="仿宋" w:eastAsia="仿宋" w:cs="仿宋"/>
          <w:sz w:val="32"/>
          <w:szCs w:val="32"/>
        </w:rPr>
        <w:t xml:space="preserve">    预算内完成。</w:t>
      </w:r>
    </w:p>
    <w:p w14:paraId="6A70A34E">
      <w:pPr>
        <w:widowControl/>
        <w:spacing w:line="56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第三部分</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名词解释</w:t>
      </w:r>
    </w:p>
    <w:p w14:paraId="30A22D54">
      <w:pPr>
        <w:widowControl/>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财政拨款收入：指市财政当年拨付的资金。</w:t>
      </w:r>
      <w:r>
        <w:rPr>
          <w:rFonts w:ascii="仿宋" w:hAnsi="仿宋" w:eastAsia="仿宋" w:cs="仿宋"/>
          <w:color w:val="000000"/>
          <w:kern w:val="0"/>
          <w:sz w:val="32"/>
          <w:szCs w:val="32"/>
        </w:rPr>
        <w:t xml:space="preserve"> </w:t>
      </w:r>
    </w:p>
    <w:p w14:paraId="03BB52A9">
      <w:pPr>
        <w:widowControl/>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其他收入：指除“财政拨款收入”、“财政专户拨款收入”等以外的收入，包括事业单位经营性收入、上级补助收入、附属单位上缴收入等。</w:t>
      </w:r>
    </w:p>
    <w:p w14:paraId="63363EEC">
      <w:pPr>
        <w:widowControl/>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3.</w:t>
      </w:r>
      <w:r>
        <w:rPr>
          <w:rFonts w:hint="eastAsia" w:ascii="仿宋" w:hAnsi="仿宋" w:eastAsia="仿宋" w:cs="仿宋"/>
          <w:color w:val="000000"/>
          <w:kern w:val="0"/>
          <w:sz w:val="32"/>
          <w:szCs w:val="32"/>
        </w:rPr>
        <w:t>基本支出：指为保障机构正常运转、完成日常工作任务而发生的人员支出和公用支出。</w:t>
      </w:r>
    </w:p>
    <w:p w14:paraId="37B4AE25">
      <w:pPr>
        <w:widowControl/>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4.</w:t>
      </w:r>
      <w:r>
        <w:rPr>
          <w:rFonts w:hint="eastAsia" w:ascii="仿宋" w:hAnsi="仿宋" w:eastAsia="仿宋" w:cs="仿宋"/>
          <w:color w:val="000000"/>
          <w:kern w:val="0"/>
          <w:sz w:val="32"/>
          <w:szCs w:val="32"/>
        </w:rPr>
        <w:t>项目支出：指在基本支出之外为完成特定行政任务和事业发展目标所发生的支出。</w:t>
      </w:r>
    </w:p>
    <w:p w14:paraId="5633E389">
      <w:pPr>
        <w:widowControl/>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5.</w:t>
      </w:r>
      <w:r>
        <w:rPr>
          <w:rFonts w:hint="eastAsia" w:ascii="仿宋" w:hAnsi="仿宋" w:eastAsia="仿宋" w:cs="仿宋"/>
          <w:color w:val="000000"/>
          <w:kern w:val="0"/>
          <w:sz w:val="32"/>
          <w:szCs w:val="32"/>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68FD08B">
      <w:pPr>
        <w:widowControl/>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6.</w:t>
      </w:r>
      <w:r>
        <w:rPr>
          <w:rFonts w:hint="eastAsia" w:ascii="仿宋" w:hAnsi="仿宋" w:eastAsia="仿宋" w:cs="仿宋"/>
          <w:color w:val="000000"/>
          <w:kern w:val="0"/>
          <w:sz w:val="32"/>
          <w:szCs w:val="32"/>
        </w:rPr>
        <w:t>一般公共服务（类）财政事务（款）行政运行（项）：反映行政单位（包括实行公务员管理的事业单位）的基本支出。</w:t>
      </w:r>
    </w:p>
    <w:p w14:paraId="7C8A5007">
      <w:pPr>
        <w:widowControl/>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7.</w:t>
      </w:r>
      <w:r>
        <w:rPr>
          <w:rFonts w:hint="eastAsia" w:ascii="仿宋" w:hAnsi="仿宋" w:eastAsia="仿宋" w:cs="仿宋"/>
          <w:color w:val="000000"/>
          <w:kern w:val="0"/>
          <w:sz w:val="32"/>
          <w:szCs w:val="32"/>
        </w:rPr>
        <w:t>一般公共服务（类）财政事务（款）一般行政管理事务（项）：反映行政单位（包括实行公务员管理的事业单位）未单独设置项级科目的其他项目支出。</w:t>
      </w:r>
    </w:p>
    <w:p w14:paraId="2FAEFEAA">
      <w:pPr>
        <w:widowControl/>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8</w:t>
      </w:r>
      <w:r>
        <w:rPr>
          <w:rFonts w:hint="eastAsia" w:ascii="仿宋" w:hAnsi="仿宋" w:eastAsia="仿宋" w:cs="仿宋"/>
          <w:color w:val="000000"/>
          <w:kern w:val="0"/>
          <w:sz w:val="32"/>
          <w:szCs w:val="32"/>
        </w:rPr>
        <w:t>一般公共服务（类）财政事务（款）信息化建设（项）：反映财政部门用于“金财工程”等信息化建设方面的支出。</w:t>
      </w:r>
    </w:p>
    <w:p w14:paraId="14AC4293">
      <w:pPr>
        <w:widowControl/>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9.</w:t>
      </w:r>
      <w:r>
        <w:rPr>
          <w:rFonts w:hint="eastAsia" w:ascii="仿宋" w:hAnsi="仿宋" w:eastAsia="仿宋" w:cs="仿宋"/>
          <w:color w:val="000000"/>
          <w:kern w:val="0"/>
          <w:sz w:val="32"/>
          <w:szCs w:val="32"/>
        </w:rPr>
        <w:t>一般公共服务（类）财政事务（款）财政委托业务支出（项）：反映财政委托评审机构进行财政投资评审和委托建设银行等机构代理业务发生的支出。</w:t>
      </w:r>
    </w:p>
    <w:p w14:paraId="5D44C7CE">
      <w:pPr>
        <w:widowControl/>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 xml:space="preserve">10. </w:t>
      </w:r>
      <w:r>
        <w:rPr>
          <w:rFonts w:hint="eastAsia" w:ascii="仿宋" w:hAnsi="仿宋" w:eastAsia="仿宋" w:cs="仿宋"/>
          <w:color w:val="000000"/>
          <w:kern w:val="0"/>
          <w:sz w:val="32"/>
          <w:szCs w:val="32"/>
        </w:rPr>
        <w:t>一般公共服务（类）财政事务（款）事业运行（项）：反映事业单位的基本支出，不包括行政单位（包括实行公务员管理的事业单位）后勤服务中心、医务室等附属事业单位。</w:t>
      </w:r>
    </w:p>
    <w:p w14:paraId="3B4D7DFC">
      <w:pPr>
        <w:widowControl/>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 xml:space="preserve">11. </w:t>
      </w:r>
      <w:r>
        <w:rPr>
          <w:rFonts w:hint="eastAsia" w:ascii="仿宋" w:hAnsi="仿宋" w:eastAsia="仿宋" w:cs="仿宋"/>
          <w:color w:val="000000"/>
          <w:kern w:val="0"/>
          <w:sz w:val="32"/>
          <w:szCs w:val="32"/>
        </w:rPr>
        <w:t>一般公共服务（类）财政事务（款）其他财政事务支出（项）：反映其他财政事务方面的支出。</w:t>
      </w:r>
    </w:p>
    <w:p w14:paraId="23B6FB8A">
      <w:pPr>
        <w:widowControl/>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12</w:t>
      </w:r>
      <w:r>
        <w:rPr>
          <w:rFonts w:hint="eastAsia" w:ascii="仿宋" w:hAnsi="仿宋" w:eastAsia="仿宋" w:cs="仿宋"/>
          <w:color w:val="000000"/>
          <w:kern w:val="0"/>
          <w:sz w:val="32"/>
          <w:szCs w:val="32"/>
        </w:rPr>
        <w:t>．教育支出（类）其他教育支出（款）其他教育支出（项）：反映其他用于教育方面的支出。</w:t>
      </w:r>
    </w:p>
    <w:p w14:paraId="0CA9D957">
      <w:pPr>
        <w:widowControl/>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 xml:space="preserve">13. </w:t>
      </w:r>
      <w:r>
        <w:rPr>
          <w:rFonts w:hint="eastAsia" w:ascii="仿宋" w:hAnsi="仿宋" w:eastAsia="仿宋" w:cs="仿宋"/>
          <w:color w:val="000000"/>
          <w:kern w:val="0"/>
          <w:sz w:val="32"/>
          <w:szCs w:val="32"/>
        </w:rPr>
        <w:t>社会保障和就业（类）行政事业单位离退休（款）归口管理的行政单位离退休（项）：反映实行归口管理的行政单位（包括实行公务员管理的事业单位）开支的离退休经费。</w:t>
      </w:r>
    </w:p>
    <w:p w14:paraId="4DCD775F">
      <w:pPr>
        <w:widowControl/>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 xml:space="preserve">14. </w:t>
      </w:r>
      <w:r>
        <w:rPr>
          <w:rFonts w:hint="eastAsia" w:ascii="仿宋" w:hAnsi="仿宋" w:eastAsia="仿宋" w:cs="仿宋"/>
          <w:color w:val="000000"/>
          <w:kern w:val="0"/>
          <w:sz w:val="32"/>
          <w:szCs w:val="32"/>
        </w:rPr>
        <w:t>社会保障和就业（类）行政事业单位离退休（款）机关事业单位基本养老保险缴费支出（项）：反映机关事业单位实施养老保险制度由单位缴纳的基本养老保险费支出。</w:t>
      </w:r>
    </w:p>
    <w:p w14:paraId="1426815D">
      <w:pPr>
        <w:widowControl/>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15.</w:t>
      </w:r>
      <w:r>
        <w:rPr>
          <w:rFonts w:hint="eastAsia" w:ascii="仿宋" w:hAnsi="仿宋" w:eastAsia="仿宋" w:cs="仿宋"/>
          <w:color w:val="000000"/>
          <w:kern w:val="0"/>
          <w:sz w:val="32"/>
          <w:szCs w:val="32"/>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2D52F914">
      <w:pPr>
        <w:widowControl/>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16.</w:t>
      </w:r>
      <w:r>
        <w:rPr>
          <w:rFonts w:hint="eastAsia" w:ascii="仿宋" w:hAnsi="仿宋" w:eastAsia="仿宋" w:cs="仿宋"/>
          <w:color w:val="000000"/>
          <w:kern w:val="0"/>
          <w:sz w:val="32"/>
          <w:szCs w:val="32"/>
        </w:rPr>
        <w:t>医疗卫生与计划生育（类）医疗保障（款）事业单位医疗（项）：反映财政部门集中安排的事业单位基本医疗保险缴费经费，未参加医疗保险的事业单位的公费医疗经费，按国家规定享受离休人员待遇人员的医疗经费。</w:t>
      </w:r>
    </w:p>
    <w:p w14:paraId="01396C94">
      <w:pPr>
        <w:widowControl/>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17.</w:t>
      </w:r>
      <w:r>
        <w:rPr>
          <w:rFonts w:hint="eastAsia" w:ascii="仿宋" w:hAnsi="仿宋" w:eastAsia="仿宋" w:cs="仿宋"/>
          <w:color w:val="000000"/>
          <w:kern w:val="0"/>
          <w:sz w:val="32"/>
          <w:szCs w:val="32"/>
        </w:rPr>
        <w:t>住房保障（类）住房改革（款）住房公积金（项）：反映行政事业单位按人力资源和社会保障部、财政部规定的基本工资和津贴补贴以及规定比例为职工缴纳的住房公积金。</w:t>
      </w:r>
    </w:p>
    <w:p w14:paraId="4C372E52">
      <w:pPr>
        <w:widowControl/>
        <w:spacing w:line="560" w:lineRule="exac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18.</w:t>
      </w:r>
      <w:r>
        <w:rPr>
          <w:rFonts w:hint="eastAsia" w:ascii="仿宋" w:hAnsi="仿宋" w:eastAsia="仿宋" w:cs="仿宋"/>
          <w:color w:val="000000"/>
          <w:kern w:val="0"/>
          <w:sz w:val="32"/>
          <w:szCs w:val="32"/>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59E7BA4A">
      <w:pPr>
        <w:widowControl/>
        <w:spacing w:line="560" w:lineRule="exact"/>
        <w:ind w:firstLine="640" w:firstLineChars="200"/>
        <w:jc w:val="left"/>
        <w:rPr>
          <w:rFonts w:ascii="仿宋" w:hAnsi="仿宋" w:eastAsia="仿宋" w:cs="仿宋"/>
          <w:color w:val="000000"/>
          <w:kern w:val="0"/>
          <w:sz w:val="32"/>
          <w:szCs w:val="32"/>
        </w:rPr>
      </w:pPr>
    </w:p>
    <w:p w14:paraId="5E649320">
      <w:pPr>
        <w:spacing w:line="560" w:lineRule="exact"/>
        <w:rPr>
          <w:rFonts w:ascii="仿宋" w:hAnsi="仿宋" w:eastAsia="仿宋"/>
          <w:sz w:val="32"/>
          <w:szCs w:val="32"/>
        </w:rPr>
      </w:pP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 xml:space="preserve">  202</w:t>
      </w:r>
      <w:r>
        <w:rPr>
          <w:rFonts w:hint="eastAsia" w:ascii="仿宋" w:hAnsi="仿宋" w:eastAsia="仿宋" w:cs="仿宋"/>
          <w:sz w:val="32"/>
          <w:szCs w:val="32"/>
        </w:rPr>
        <w:t>3年2月13日</w:t>
      </w:r>
    </w:p>
    <w:sectPr>
      <w:pgSz w:w="11906" w:h="16838"/>
      <w:pgMar w:top="1531"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B782F8"/>
    <w:multiLevelType w:val="singleLevel"/>
    <w:tmpl w:val="64B782F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1D08"/>
    <w:rsid w:val="000A1E6A"/>
    <w:rsid w:val="00431D08"/>
    <w:rsid w:val="006A4FD7"/>
    <w:rsid w:val="00826BF3"/>
    <w:rsid w:val="00F214D9"/>
    <w:rsid w:val="0D9F2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name="header"/>
    <w:lsdException w:unhideWhenUsed="0" w:uiPriority="99"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iPriority w:val="99"/>
    <w:pPr>
      <w:tabs>
        <w:tab w:val="center" w:pos="4153"/>
        <w:tab w:val="right" w:pos="8306"/>
      </w:tabs>
      <w:snapToGrid w:val="0"/>
      <w:jc w:val="left"/>
    </w:pPr>
    <w:rPr>
      <w:sz w:val="18"/>
      <w:szCs w:val="18"/>
    </w:rPr>
  </w:style>
  <w:style w:type="paragraph" w:styleId="3">
    <w:name w:val="header"/>
    <w:basedOn w:val="1"/>
    <w:link w:val="6"/>
    <w:semiHidden/>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semiHidden/>
    <w:locked/>
    <w:uiPriority w:val="99"/>
    <w:rPr>
      <w:rFonts w:ascii="Times New Roman" w:hAnsi="Times New Roman" w:eastAsia="宋体" w:cs="Times New Roman"/>
      <w:sz w:val="18"/>
      <w:szCs w:val="18"/>
    </w:rPr>
  </w:style>
  <w:style w:type="character" w:customStyle="1" w:styleId="7">
    <w:name w:val="页脚 Char"/>
    <w:link w:val="2"/>
    <w:semiHidden/>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3726</Words>
  <Characters>3872</Characters>
  <Lines>29</Lines>
  <Paragraphs>8</Paragraphs>
  <TotalTime>14</TotalTime>
  <ScaleCrop>false</ScaleCrop>
  <LinksUpToDate>false</LinksUpToDate>
  <CharactersWithSpaces>4019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2016-12-21T02:56:00Z</dcterms:created>
  <dc:creator>Custmor</dc:creator>
  <cp:lastModifiedBy>凉拌明玉子</cp:lastModifiedBy>
  <cp:lastPrinted>2023-07-19T07:02:00Z</cp:lastPrinted>
  <dcterms:modified xsi:type="dcterms:W3CDTF">2025-12-22T07:18:22Z</dcterms:modified>
  <dc:title>高新区投资促进局2022年部门预算</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eyJoZGlkIjoiNzMzNGFhYTQwZDVjNjVmMDFlMTAxYjIwOTljNDhhZWQiLCJ1c2VySWQiOiIyMDEzOTMzNTkifQ==</vt:lpwstr>
  </property>
  <property fmtid="{D5CDD505-2E9C-101B-9397-08002B2CF9AE}" pid="4" name="ICV">
    <vt:lpwstr>2DFF7D5C0464492398FBDEEDAC38A311_12</vt:lpwstr>
  </property>
</Properties>
</file>