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00A13">
      <w:pPr>
        <w:spacing w:line="600" w:lineRule="exact"/>
        <w:rPr>
          <w:rFonts w:ascii="仿宋_GB2312" w:eastAsia="仿宋_GB2312"/>
          <w:sz w:val="32"/>
          <w:szCs w:val="32"/>
        </w:rPr>
      </w:pPr>
      <w:bookmarkStart w:id="2" w:name="_GoBack"/>
      <w:bookmarkEnd w:id="2"/>
    </w:p>
    <w:p w14:paraId="605CAD51">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大连市第六十三中学</w:t>
      </w:r>
    </w:p>
    <w:p w14:paraId="6AD69020">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06B651EB">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07DA8F9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D222C4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6068D321">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办学宗旨为实施中小学义务教育，促进基础教育发展；业务范围是初中、小学学历教育。</w:t>
      </w:r>
    </w:p>
    <w:p w14:paraId="5680B72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1795FDF">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24年大连市第六十三中学部门预算为本部门综合收支计划，无二级单位。</w:t>
      </w:r>
    </w:p>
    <w:p w14:paraId="0004E4F8">
      <w:pPr>
        <w:widowControl/>
        <w:spacing w:line="330" w:lineRule="atLeast"/>
        <w:ind w:firstLine="600" w:firstLineChars="200"/>
        <w:jc w:val="left"/>
        <w:rPr>
          <w:rFonts w:ascii="仿宋" w:hAnsi="仿宋" w:eastAsia="仿宋" w:cs="仿宋"/>
          <w:color w:val="000000"/>
          <w:kern w:val="0"/>
          <w:sz w:val="30"/>
          <w:szCs w:val="30"/>
        </w:rPr>
      </w:pPr>
    </w:p>
    <w:p w14:paraId="10B06D6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350D4A8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989390D">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按照综合预算的原则，本部门所有收入和支出均纳入部门预算管理，无下级预算单位。收入包括：财政拨款收入2,176.04万元；支出包括：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工资福利和对个人家庭补助支出1,791.14万元</w:t>
      </w:r>
      <w:bookmarkEnd w:id="0"/>
      <w:bookmarkEnd w:id="1"/>
      <w:r>
        <w:rPr>
          <w:rFonts w:hint="eastAsia" w:ascii="仿宋" w:hAnsi="仿宋" w:eastAsia="仿宋" w:cs="仿宋"/>
          <w:color w:val="000000"/>
          <w:kern w:val="0"/>
          <w:sz w:val="30"/>
          <w:szCs w:val="30"/>
        </w:rPr>
        <w:t>，商品和服务支出384.9万元。全部为一般公共预算收支，无政府性基金预算收支，无国有资本经营预算收支。比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23年预算数增加109.06万元，其中工资福利和对个人家庭补助支出增加101.79万元，商品和服务支出增加7.27万元。</w:t>
      </w:r>
    </w:p>
    <w:p w14:paraId="5E399F1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22EA920A">
      <w:pPr>
        <w:spacing w:line="600" w:lineRule="exact"/>
        <w:ind w:firstLine="600" w:firstLineChars="200"/>
        <w:rPr>
          <w:rFonts w:ascii="仿宋" w:hAnsi="仿宋" w:eastAsia="仿宋"/>
          <w:sz w:val="30"/>
          <w:szCs w:val="30"/>
        </w:rPr>
      </w:pPr>
      <w:r>
        <w:rPr>
          <w:rFonts w:hint="eastAsia" w:ascii="仿宋" w:hAnsi="仿宋" w:eastAsia="仿宋"/>
          <w:sz w:val="30"/>
          <w:szCs w:val="30"/>
        </w:rPr>
        <w:t>“三公”经费预算数5.3万元，全部为公务用车运行维护费</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1109663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3E453E55">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包括定额公用经费130.4万元</w:t>
      </w:r>
      <w:r>
        <w:rPr>
          <w:rFonts w:ascii="仿宋" w:hAnsi="仿宋" w:eastAsia="仿宋" w:cs="Verdana"/>
          <w:color w:val="000000"/>
          <w:kern w:val="0"/>
          <w:sz w:val="30"/>
          <w:szCs w:val="30"/>
        </w:rPr>
        <w:t>、公务用车运行维护费</w:t>
      </w:r>
      <w:r>
        <w:rPr>
          <w:rFonts w:hint="eastAsia" w:ascii="仿宋" w:hAnsi="仿宋" w:eastAsia="仿宋" w:cs="Verdana"/>
          <w:color w:val="000000"/>
          <w:kern w:val="0"/>
          <w:sz w:val="30"/>
          <w:szCs w:val="30"/>
        </w:rPr>
        <w:t>5.3</w:t>
      </w:r>
      <w:r>
        <w:rPr>
          <w:rFonts w:ascii="仿宋" w:hAnsi="仿宋" w:eastAsia="仿宋" w:cs="Verdana"/>
          <w:color w:val="000000"/>
          <w:kern w:val="0"/>
          <w:sz w:val="30"/>
          <w:szCs w:val="30"/>
        </w:rPr>
        <w:t>万元</w:t>
      </w:r>
      <w:r>
        <w:rPr>
          <w:rFonts w:hint="eastAsia" w:ascii="仿宋" w:hAnsi="仿宋" w:eastAsia="仿宋" w:cs="Verdana"/>
          <w:color w:val="000000"/>
          <w:kern w:val="0"/>
          <w:sz w:val="30"/>
          <w:szCs w:val="30"/>
        </w:rPr>
        <w:t>、办公用房取暖费52.2万元</w:t>
      </w:r>
      <w:r>
        <w:rPr>
          <w:rFonts w:ascii="仿宋" w:hAnsi="仿宋" w:eastAsia="仿宋" w:cs="Verdana"/>
          <w:color w:val="000000"/>
          <w:kern w:val="0"/>
          <w:sz w:val="30"/>
          <w:szCs w:val="30"/>
        </w:rPr>
        <w:t>。</w:t>
      </w:r>
    </w:p>
    <w:p w14:paraId="0CFB77F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6AAAE5E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7FD0832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2F2493E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13FE5CD5">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DFE2C6C">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国有资产占有使用情况说明为：截至2023年12月31日，部门（单位）共有车辆2辆；单位价值50万元（含）以上通用设备0台（套）；单位价值100万元以上专用设备0台（套）。</w:t>
      </w:r>
    </w:p>
    <w:p w14:paraId="16F3E7A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1B9DC23B">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24年，按照“先有绩效，后有预算”原则，本部门共计编制绩效目标1个，预算金额197万元，占项目支出预算比重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0952578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大连市第六十三中学劳务派遣经费</w:t>
      </w:r>
    </w:p>
    <w:p w14:paraId="722CA778">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6FF4ED92">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大连市第六十三中学劳务派遣经费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0588C413">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4500A321">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4B7716BB">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4EA1E258">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大连市第六十三中学劳务派遣经费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大连市第六十三中学</w:t>
      </w:r>
      <w:r>
        <w:rPr>
          <w:rFonts w:hint="eastAsia" w:ascii="仿宋" w:hAnsi="仿宋" w:eastAsia="仿宋" w:cs="仿宋_GB2312"/>
          <w:color w:val="000000"/>
          <w:kern w:val="0"/>
          <w:sz w:val="30"/>
          <w:szCs w:val="30"/>
        </w:rPr>
        <w:t>负责具体实施。</w:t>
      </w:r>
    </w:p>
    <w:p w14:paraId="22856BB5">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6F8C8FAD">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大连市第六十三中学劳务派遣经费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w:t>
      </w:r>
      <w:r>
        <w:rPr>
          <w:rFonts w:hint="eastAsia" w:ascii="仿宋" w:hAnsi="仿宋" w:eastAsia="仿宋" w:cs="Verdana"/>
          <w:kern w:val="0"/>
          <w:sz w:val="30"/>
          <w:szCs w:val="30"/>
        </w:rPr>
        <w:t>大连市第六十三中学</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大连市第六十三中学</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大连市第六十三中学</w:t>
      </w:r>
      <w:r>
        <w:rPr>
          <w:rFonts w:hint="eastAsia" w:ascii="仿宋" w:hAnsi="仿宋" w:eastAsia="仿宋" w:cs="仿宋_GB2312"/>
          <w:color w:val="000000"/>
          <w:kern w:val="0"/>
          <w:sz w:val="30"/>
          <w:szCs w:val="30"/>
        </w:rPr>
        <w:t>向劳务派遣公司支付费用。</w:t>
      </w:r>
    </w:p>
    <w:p w14:paraId="5DF47694">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5B871EB4">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0FB43E51">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2C6BD213">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2024年拟安排该项目预算197万元。</w:t>
      </w:r>
    </w:p>
    <w:p w14:paraId="25B12C85">
      <w:pPr>
        <w:widowControl/>
        <w:spacing w:line="330" w:lineRule="atLeast"/>
        <w:jc w:val="left"/>
        <w:rPr>
          <w:rFonts w:ascii="仿宋" w:hAnsi="仿宋" w:eastAsia="仿宋" w:cs="仿宋"/>
          <w:color w:val="000000"/>
          <w:kern w:val="0"/>
          <w:sz w:val="30"/>
          <w:szCs w:val="30"/>
        </w:rPr>
      </w:pPr>
    </w:p>
    <w:p w14:paraId="7162CF7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79A9616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3F39E4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AC1552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3BB706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799A8ED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B0A6D5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8C152E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60265C3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39498EE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35ABE4C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0CFDCF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C11467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6C11E8F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0B1ADD7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66444F1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B72B47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8A50C1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3B74000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A27633D">
      <w:pPr>
        <w:widowControl/>
        <w:spacing w:line="330" w:lineRule="atLeast"/>
        <w:ind w:firstLine="600" w:firstLineChars="200"/>
        <w:jc w:val="left"/>
        <w:rPr>
          <w:rFonts w:ascii="仿宋" w:hAnsi="仿宋" w:eastAsia="仿宋" w:cs="仿宋"/>
          <w:color w:val="000000"/>
          <w:kern w:val="0"/>
          <w:sz w:val="30"/>
          <w:szCs w:val="30"/>
        </w:rPr>
      </w:pPr>
    </w:p>
    <w:p w14:paraId="124CFE5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3FB7AAC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AF7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5BEA9EB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49B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43C720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7E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57C90"/>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38BD"/>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0F306DD6"/>
    <w:rsid w:val="3D7274B0"/>
    <w:rsid w:val="5FAC0D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2404</Words>
  <Characters>2518</Characters>
  <Lines>20</Lines>
  <Paragraphs>5</Paragraphs>
  <TotalTime>185</TotalTime>
  <ScaleCrop>false</ScaleCrop>
  <LinksUpToDate>false</LinksUpToDate>
  <CharactersWithSpaces>2785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2025-12-23T07:42:38Z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