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B1B13F">
      <w:pPr>
        <w:spacing w:line="600" w:lineRule="exact"/>
        <w:rPr>
          <w:rFonts w:ascii="仿宋_GB2312" w:eastAsia="仿宋_GB2312"/>
          <w:sz w:val="32"/>
          <w:szCs w:val="32"/>
        </w:rPr>
      </w:pPr>
      <w:bookmarkStart w:id="2" w:name="_GoBack"/>
      <w:bookmarkEnd w:id="2"/>
    </w:p>
    <w:p w14:paraId="3C214F85">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大连高新技术产业园区经济发展促进中心</w:t>
      </w:r>
    </w:p>
    <w:p w14:paraId="027FA338">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601AD33D">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1360E55">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99976C0">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5FD509DC">
      <w:pPr>
        <w:spacing w:line="600" w:lineRule="exac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市委政研室和市政府政研室下达的调研课题的组织与文字综合工作；负责对国家高新区建设的有关规划计划、政策措施、发展情况等进行信息收集与分析研究；跟踪国内外高新技术产业发展状况与趋势，对高新区重点产业开展调查研究；</w:t>
      </w:r>
    </w:p>
    <w:p w14:paraId="4923CB19">
      <w:pPr>
        <w:spacing w:line="600" w:lineRule="exac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、协助开展全区大数据产业发展、工业和信息化以及商贸流通领域、农业经济发展以及水资源合理开发利用等工作，为全区经济和产业发展以及重大投资项目提供基础性、专业性支持服务；</w:t>
      </w:r>
    </w:p>
    <w:p w14:paraId="21135D3C">
      <w:pPr>
        <w:spacing w:line="600" w:lineRule="exac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执行国家统计标准、统计法规以及统计制度，协助完成国家、省、市统计调查任务，协助指导辖区各有关单位、人员加强统计基础工作简述，健全统计台账制度和统计档案制度；负责按照有关规定搜集、整理、分析、提供和管理园区的基本统计资料，为经济运行分析提供数据支持；</w:t>
      </w:r>
    </w:p>
    <w:p w14:paraId="53B6457D">
      <w:pPr>
        <w:spacing w:line="600" w:lineRule="exac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、受纪检监察、司法、行政部门委托，负责开展涉案价格认定和价格纠纷调解等工作；负责开展公共信用信息征集、管理、应用和失信行为受理及信用评价等工作；</w:t>
      </w:r>
    </w:p>
    <w:p w14:paraId="5DB6F6F7">
      <w:pPr>
        <w:spacing w:line="600" w:lineRule="exac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协助开展经贸合作和招商引资工作，承担审批事项、政策落实、企业统计等基础性、服务性工作；负责投资促进相关的内外资企业服务；负责建立政企服务机制，协调解决区内企业提出的问题；负责七贤荟平台建设，开展投资环境与政策宣讲、项目与资源对接活动；负责政府指令性展览会议、交流活动的企业组织及布展会务工作；</w:t>
      </w:r>
    </w:p>
    <w:p w14:paraId="7A9BAA05">
      <w:pPr>
        <w:spacing w:line="600" w:lineRule="exac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、负责按照各级政府有关法律法规及规定，开展代理记账单位资金收付、会计核算、预决算编制、财务报告编制、固定资产管理、票据管理等工作；</w:t>
      </w:r>
    </w:p>
    <w:p w14:paraId="738DCF9E">
      <w:pPr>
        <w:spacing w:line="600" w:lineRule="exac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、协助开展部门预算项目审核、评估，对区级财力投资的重大项目预算执行情况、预期效果进行跟踪问效；负责行政事业单位国有资产管理基础性、服务性工作；</w:t>
      </w:r>
    </w:p>
    <w:p w14:paraId="3DDE6939">
      <w:pPr>
        <w:spacing w:line="600" w:lineRule="exac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、协助开展营商环境建设、深化放管服改革、行政审批协调、行政投诉、依申请公开、督查、绩效考核等相关工作。负责行政服务大厅日程管理；</w:t>
      </w:r>
    </w:p>
    <w:p w14:paraId="42441234">
      <w:pPr>
        <w:spacing w:line="600" w:lineRule="exac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负责市场秩序综合监管、食品药品医疗器械化妆品安全综合监管、计量综合监管、质量技术综合监管工作；个体工商户登记、食品经营许可、特种设备及其作业人员登记受理；投诉举报处理、执法类案件查处、知识产权保护等工作；</w:t>
      </w:r>
    </w:p>
    <w:p w14:paraId="4DE1B9B4">
      <w:pPr>
        <w:spacing w:line="600" w:lineRule="exac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、完成区党工委、管委会交办的其他任务。</w:t>
      </w:r>
    </w:p>
    <w:p w14:paraId="7E9AC8D6">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7911E6D">
      <w:pPr>
        <w:widowControl/>
        <w:spacing w:line="600" w:lineRule="exac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21年经济发展促进中心部门预算为本部门综合收支计划，无二级单位。</w:t>
      </w:r>
    </w:p>
    <w:p w14:paraId="757B8C9B">
      <w:pPr>
        <w:widowControl/>
        <w:spacing w:line="600" w:lineRule="exact"/>
        <w:jc w:val="left"/>
        <w:rPr>
          <w:rFonts w:ascii="仿宋" w:hAnsi="仿宋" w:eastAsia="仿宋"/>
          <w:sz w:val="30"/>
          <w:szCs w:val="30"/>
        </w:rPr>
      </w:pPr>
    </w:p>
    <w:p w14:paraId="010B5D25">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B06E6AC">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065A54C7">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按照综合预算的原则，本部门所有收入和支出均纳入部门预算管理，无下级预算单位。收入包括：财政拨款收入4,783.5万元；支出包括：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工资福利和对个人家庭补助支出3,387.6万元</w:t>
      </w:r>
      <w:bookmarkEnd w:id="0"/>
      <w:bookmarkEnd w:id="1"/>
      <w:r>
        <w:rPr>
          <w:rFonts w:hint="eastAsia" w:ascii="仿宋" w:hAnsi="仿宋" w:eastAsia="仿宋" w:cs="仿宋"/>
          <w:color w:val="000000"/>
          <w:kern w:val="0"/>
          <w:sz w:val="30"/>
          <w:szCs w:val="30"/>
        </w:rPr>
        <w:t>，商品和服务支出1,395.9万元。全部为一般公共预算收支，无政府性基金预算收支，无国有资本经营预算收支。</w:t>
      </w:r>
      <w:r>
        <w:rPr>
          <w:rFonts w:hint="eastAsia" w:ascii="仿宋" w:hAnsi="仿宋" w:eastAsia="仿宋" w:cs="Verdana"/>
          <w:color w:val="000000"/>
          <w:kern w:val="0"/>
          <w:sz w:val="30"/>
          <w:szCs w:val="30"/>
        </w:rPr>
        <w:t>该部门为新设单位，无2020年预算</w:t>
      </w:r>
      <w:r>
        <w:rPr>
          <w:rFonts w:hint="eastAsia" w:ascii="仿宋" w:hAnsi="仿宋" w:eastAsia="仿宋"/>
          <w:sz w:val="30"/>
          <w:szCs w:val="30"/>
        </w:rPr>
        <w:t>。</w:t>
      </w:r>
    </w:p>
    <w:p w14:paraId="0D1B8507">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0A823028">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1C27AE68">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5ED58700">
      <w:pPr>
        <w:widowControl/>
        <w:spacing w:line="600" w:lineRule="exac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包括定额公用经费76万元</w:t>
      </w:r>
      <w:r>
        <w:rPr>
          <w:rFonts w:ascii="仿宋" w:hAnsi="仿宋" w:eastAsia="仿宋" w:cs="Verdana"/>
          <w:color w:val="000000"/>
          <w:kern w:val="0"/>
          <w:sz w:val="30"/>
          <w:szCs w:val="30"/>
        </w:rPr>
        <w:t>。</w:t>
      </w:r>
    </w:p>
    <w:p w14:paraId="599BF67A">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A8629F0">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Verdana"/>
          <w:color w:val="000000"/>
          <w:kern w:val="0"/>
          <w:sz w:val="30"/>
          <w:szCs w:val="30"/>
        </w:rPr>
        <w:t>2021年本部门政府采购项目共1个：</w:t>
      </w:r>
      <w:r>
        <w:rPr>
          <w:rFonts w:hint="eastAsia" w:ascii="仿宋" w:hAnsi="仿宋" w:eastAsia="仿宋" w:cs="仿宋"/>
          <w:color w:val="000000"/>
          <w:kern w:val="0"/>
          <w:sz w:val="30"/>
          <w:szCs w:val="30"/>
        </w:rPr>
        <w:t>大连工业博览会参展布展服务采购项目35万。</w:t>
      </w:r>
    </w:p>
    <w:p w14:paraId="615E1424">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77D7E2E">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7A0E85C">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560ECDD0">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国有资产占有使用情况说明为：截至2020年12月31日，部门（单位）共有车辆0辆；单位价值50万元（含）以上通用设备12台（套）；单位价值100万元以上专用设备0台（套）。</w:t>
      </w:r>
    </w:p>
    <w:p w14:paraId="6DC75662">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3FFCB5EC">
      <w:pPr>
        <w:spacing w:line="60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21年，按照“先有绩效，后有预算”原则，本部门共计编制绩效目标26个，预算金额503.9万元，占项目支出预算比重100</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w:t>
      </w:r>
    </w:p>
    <w:p w14:paraId="363709C2">
      <w:pPr>
        <w:spacing w:line="600" w:lineRule="exact"/>
        <w:ind w:left="596" w:leftChars="284"/>
        <w:rPr>
          <w:rFonts w:ascii="仿宋" w:hAnsi="仿宋" w:eastAsia="仿宋"/>
          <w:sz w:val="30"/>
          <w:szCs w:val="30"/>
        </w:rPr>
      </w:pPr>
      <w:r>
        <w:rPr>
          <w:rFonts w:hint="eastAsia" w:ascii="仿宋" w:hAnsi="仿宋" w:eastAsia="仿宋" w:cs="Verdana"/>
          <w:color w:val="000000"/>
          <w:sz w:val="30"/>
          <w:szCs w:val="30"/>
        </w:rPr>
        <w:t>八、</w:t>
      </w:r>
      <w:r>
        <w:rPr>
          <w:rFonts w:hint="eastAsia" w:ascii="仿宋" w:hAnsi="仿宋" w:eastAsia="仿宋"/>
          <w:sz w:val="30"/>
          <w:szCs w:val="30"/>
        </w:rPr>
        <w:t>一河（库）一策”河道治理及管理保护方案编制项目1.项目概况</w:t>
      </w:r>
    </w:p>
    <w:p w14:paraId="00486AEB">
      <w:pPr>
        <w:spacing w:line="600" w:lineRule="exact"/>
        <w:ind w:firstLine="600" w:firstLineChars="200"/>
        <w:rPr>
          <w:rFonts w:ascii="仿宋" w:hAnsi="仿宋" w:eastAsia="仿宋"/>
          <w:sz w:val="30"/>
          <w:szCs w:val="30"/>
        </w:rPr>
      </w:pPr>
      <w:r>
        <w:rPr>
          <w:rFonts w:hint="eastAsia" w:ascii="仿宋" w:hAnsi="仿宋" w:eastAsia="仿宋"/>
          <w:sz w:val="30"/>
          <w:szCs w:val="30"/>
        </w:rPr>
        <w:t>根据《关于切实做好河长制“一河（湖）一策”方案编制工作的通知》（辽河长办〔2020〕17号）及《大连市河库长制办公室转发辽宁省河长制办公室&lt;关于切实做好河长制“一河（湖）一策”方案编制工作的通知&gt;的通知》（大河长办〔2020〕15号）文件要求，我区需要编制龙王塘河、大石洞河、林家河、黄泥川河及龙王塘水库、老座山水库2021-2023年一河（库）一策”河道治理及管理保护方案。</w:t>
      </w:r>
    </w:p>
    <w:p w14:paraId="0AC14E59">
      <w:pPr>
        <w:spacing w:line="600" w:lineRule="exact"/>
        <w:ind w:firstLine="600" w:firstLineChars="200"/>
        <w:rPr>
          <w:rFonts w:ascii="仿宋" w:hAnsi="仿宋" w:eastAsia="仿宋"/>
          <w:sz w:val="30"/>
          <w:szCs w:val="30"/>
        </w:rPr>
      </w:pPr>
      <w:r>
        <w:rPr>
          <w:rFonts w:hint="eastAsia" w:ascii="仿宋" w:hAnsi="仿宋" w:eastAsia="仿宋"/>
          <w:sz w:val="30"/>
          <w:szCs w:val="30"/>
        </w:rPr>
        <w:t>2.立项依据</w:t>
      </w:r>
    </w:p>
    <w:p w14:paraId="391D6BB1">
      <w:pPr>
        <w:spacing w:line="600" w:lineRule="exact"/>
        <w:ind w:firstLine="600" w:firstLineChars="200"/>
        <w:rPr>
          <w:rFonts w:ascii="仿宋" w:hAnsi="仿宋" w:eastAsia="仿宋"/>
          <w:sz w:val="30"/>
          <w:szCs w:val="30"/>
        </w:rPr>
      </w:pPr>
      <w:r>
        <w:rPr>
          <w:rFonts w:hint="eastAsia" w:ascii="仿宋" w:hAnsi="仿宋" w:eastAsia="仿宋"/>
          <w:sz w:val="30"/>
          <w:szCs w:val="30"/>
        </w:rPr>
        <w:t>辽宁省河长制办公室《关于切实做好河长制“一河（湖）一策”方案编制工作的通知》（辽河长办〔2020〕17号）。</w:t>
      </w:r>
    </w:p>
    <w:p w14:paraId="3E2496D8">
      <w:pPr>
        <w:spacing w:line="600" w:lineRule="exact"/>
        <w:ind w:firstLine="600" w:firstLineChars="200"/>
        <w:rPr>
          <w:rFonts w:ascii="仿宋" w:hAnsi="仿宋" w:eastAsia="仿宋"/>
          <w:sz w:val="30"/>
          <w:szCs w:val="30"/>
        </w:rPr>
      </w:pPr>
      <w:r>
        <w:rPr>
          <w:rFonts w:hint="eastAsia" w:ascii="仿宋" w:hAnsi="仿宋" w:eastAsia="仿宋"/>
          <w:sz w:val="30"/>
          <w:szCs w:val="30"/>
        </w:rPr>
        <w:t>3.实施主体</w:t>
      </w:r>
    </w:p>
    <w:p w14:paraId="5E2368BE">
      <w:pPr>
        <w:spacing w:line="600" w:lineRule="exact"/>
        <w:ind w:firstLine="600" w:firstLineChars="200"/>
        <w:rPr>
          <w:rFonts w:ascii="仿宋" w:hAnsi="仿宋" w:eastAsia="仿宋"/>
          <w:sz w:val="30"/>
          <w:szCs w:val="30"/>
        </w:rPr>
      </w:pPr>
      <w:r>
        <w:rPr>
          <w:rFonts w:hint="eastAsia" w:ascii="仿宋" w:hAnsi="仿宋" w:eastAsia="仿宋"/>
          <w:sz w:val="30"/>
          <w:szCs w:val="30"/>
        </w:rPr>
        <w:t>高新区经济发展促进中心。</w:t>
      </w:r>
    </w:p>
    <w:p w14:paraId="3C6C65E2">
      <w:pPr>
        <w:spacing w:line="600" w:lineRule="exact"/>
        <w:ind w:firstLine="600" w:firstLineChars="200"/>
        <w:rPr>
          <w:rFonts w:ascii="仿宋" w:hAnsi="仿宋" w:eastAsia="仿宋"/>
          <w:sz w:val="30"/>
          <w:szCs w:val="30"/>
        </w:rPr>
      </w:pPr>
      <w:r>
        <w:rPr>
          <w:rFonts w:hint="eastAsia" w:ascii="仿宋" w:hAnsi="仿宋" w:eastAsia="仿宋"/>
          <w:sz w:val="30"/>
          <w:szCs w:val="30"/>
        </w:rPr>
        <w:t>4.实施方案</w:t>
      </w:r>
    </w:p>
    <w:p w14:paraId="4395C3DD">
      <w:pPr>
        <w:spacing w:line="600" w:lineRule="exact"/>
        <w:ind w:firstLine="600" w:firstLineChars="200"/>
        <w:rPr>
          <w:rFonts w:ascii="仿宋" w:hAnsi="仿宋" w:eastAsia="仿宋"/>
          <w:sz w:val="30"/>
          <w:szCs w:val="30"/>
        </w:rPr>
      </w:pPr>
      <w:r>
        <w:rPr>
          <w:rFonts w:hint="eastAsia" w:ascii="仿宋" w:hAnsi="仿宋" w:eastAsia="仿宋"/>
          <w:sz w:val="30"/>
          <w:szCs w:val="30"/>
        </w:rPr>
        <w:t>拟通过政府采购形式聘用具有专业设计资质的第三方设计单位编制我区一河（库）一策”（2021-2023年）河道治理及管理保护方案，我部门负责组织方案专家评审。</w:t>
      </w:r>
    </w:p>
    <w:p w14:paraId="40576ECF">
      <w:pPr>
        <w:spacing w:line="600" w:lineRule="exact"/>
        <w:ind w:firstLine="600" w:firstLineChars="200"/>
        <w:rPr>
          <w:rFonts w:ascii="仿宋" w:hAnsi="仿宋" w:eastAsia="仿宋"/>
          <w:sz w:val="30"/>
          <w:szCs w:val="30"/>
        </w:rPr>
      </w:pPr>
      <w:r>
        <w:rPr>
          <w:rFonts w:hint="eastAsia" w:ascii="仿宋" w:hAnsi="仿宋" w:eastAsia="仿宋"/>
          <w:sz w:val="30"/>
          <w:szCs w:val="30"/>
        </w:rPr>
        <w:t>5.实施周期</w:t>
      </w:r>
    </w:p>
    <w:p w14:paraId="78A4C1C9">
      <w:pPr>
        <w:spacing w:line="600" w:lineRule="exact"/>
        <w:ind w:firstLine="600" w:firstLineChars="200"/>
        <w:rPr>
          <w:rFonts w:ascii="仿宋" w:hAnsi="仿宋" w:eastAsia="仿宋"/>
          <w:sz w:val="30"/>
          <w:szCs w:val="30"/>
        </w:rPr>
      </w:pPr>
      <w:r>
        <w:rPr>
          <w:rFonts w:hint="eastAsia" w:ascii="仿宋" w:hAnsi="仿宋" w:eastAsia="仿宋"/>
          <w:sz w:val="30"/>
          <w:szCs w:val="30"/>
        </w:rPr>
        <w:t>2021年1月1日止至2021年12月31日。</w:t>
      </w:r>
    </w:p>
    <w:p w14:paraId="3AC64ACB">
      <w:pPr>
        <w:spacing w:line="600" w:lineRule="exact"/>
        <w:ind w:firstLine="600" w:firstLineChars="200"/>
        <w:rPr>
          <w:rFonts w:ascii="仿宋" w:hAnsi="仿宋" w:eastAsia="仿宋"/>
          <w:sz w:val="30"/>
          <w:szCs w:val="30"/>
        </w:rPr>
      </w:pPr>
      <w:r>
        <w:rPr>
          <w:rFonts w:hint="eastAsia" w:ascii="仿宋" w:hAnsi="仿宋" w:eastAsia="仿宋"/>
          <w:sz w:val="30"/>
          <w:szCs w:val="30"/>
        </w:rPr>
        <w:t>6.年度预算安排</w:t>
      </w:r>
    </w:p>
    <w:p w14:paraId="72E8B3F4">
      <w:pPr>
        <w:spacing w:line="600" w:lineRule="exact"/>
        <w:ind w:firstLine="600" w:firstLineChars="200"/>
        <w:rPr>
          <w:rFonts w:ascii="仿宋" w:hAnsi="仿宋" w:eastAsia="仿宋"/>
          <w:sz w:val="30"/>
          <w:szCs w:val="30"/>
        </w:rPr>
      </w:pPr>
      <w:r>
        <w:rPr>
          <w:rFonts w:hint="eastAsia" w:ascii="仿宋" w:hAnsi="仿宋" w:eastAsia="仿宋"/>
          <w:sz w:val="30"/>
          <w:szCs w:val="30"/>
        </w:rPr>
        <w:t>2021拟安排该项目一般公共预算20万元。</w:t>
      </w:r>
    </w:p>
    <w:p w14:paraId="084A8A91">
      <w:pPr>
        <w:widowControl/>
        <w:spacing w:line="600" w:lineRule="exact"/>
        <w:jc w:val="left"/>
        <w:rPr>
          <w:rFonts w:ascii="仿宋" w:hAnsi="仿宋" w:eastAsia="仿宋"/>
          <w:sz w:val="30"/>
          <w:szCs w:val="30"/>
        </w:rPr>
      </w:pPr>
    </w:p>
    <w:p w14:paraId="44278644">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F48B84F">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486D7B39">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3959155">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9711EE6">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AFF5021">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296D6E5">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C5B010B">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857ABAF">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7BC49F8">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1B56A61">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64B666E">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CC486DE">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89BC033">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30F8C165">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AB12B3F">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E5F53E5">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978D9DA">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3B2462E">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4FF595EE">
      <w:pPr>
        <w:widowControl/>
        <w:spacing w:line="330" w:lineRule="atLeast"/>
        <w:ind w:firstLine="600" w:firstLineChars="200"/>
        <w:jc w:val="left"/>
        <w:rPr>
          <w:rFonts w:ascii="仿宋" w:hAnsi="仿宋" w:eastAsia="仿宋" w:cs="仿宋"/>
          <w:color w:val="000000"/>
          <w:kern w:val="0"/>
          <w:sz w:val="30"/>
          <w:szCs w:val="30"/>
        </w:rPr>
      </w:pPr>
    </w:p>
    <w:p w14:paraId="6277047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7A970F07">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51720">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7</w:t>
    </w:r>
    <w:r>
      <w:rPr>
        <w:rStyle w:val="6"/>
      </w:rPr>
      <w:fldChar w:fldCharType="end"/>
    </w:r>
  </w:p>
  <w:p w14:paraId="7498B32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0E1DE">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31A54AD1">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2BAB"/>
    <w:rsid w:val="000045B8"/>
    <w:rsid w:val="000130C2"/>
    <w:rsid w:val="00016264"/>
    <w:rsid w:val="00017B87"/>
    <w:rsid w:val="000220BC"/>
    <w:rsid w:val="00022B54"/>
    <w:rsid w:val="0003365D"/>
    <w:rsid w:val="00040279"/>
    <w:rsid w:val="00041854"/>
    <w:rsid w:val="00045CEA"/>
    <w:rsid w:val="00046D52"/>
    <w:rsid w:val="00053D99"/>
    <w:rsid w:val="00066F30"/>
    <w:rsid w:val="000731C0"/>
    <w:rsid w:val="00084B59"/>
    <w:rsid w:val="000A55C1"/>
    <w:rsid w:val="000B1356"/>
    <w:rsid w:val="000C6B49"/>
    <w:rsid w:val="000C6D05"/>
    <w:rsid w:val="000D0913"/>
    <w:rsid w:val="000E6C93"/>
    <w:rsid w:val="000E7D75"/>
    <w:rsid w:val="000F7EC7"/>
    <w:rsid w:val="00101BE5"/>
    <w:rsid w:val="00103553"/>
    <w:rsid w:val="00104AD4"/>
    <w:rsid w:val="0010550E"/>
    <w:rsid w:val="00105E0D"/>
    <w:rsid w:val="00106522"/>
    <w:rsid w:val="00122ACC"/>
    <w:rsid w:val="001255BC"/>
    <w:rsid w:val="001257BC"/>
    <w:rsid w:val="0014109A"/>
    <w:rsid w:val="00150877"/>
    <w:rsid w:val="001518B3"/>
    <w:rsid w:val="00161209"/>
    <w:rsid w:val="00164A2E"/>
    <w:rsid w:val="00165857"/>
    <w:rsid w:val="00187190"/>
    <w:rsid w:val="00195C8B"/>
    <w:rsid w:val="001961A4"/>
    <w:rsid w:val="001B4947"/>
    <w:rsid w:val="001D2999"/>
    <w:rsid w:val="001D7051"/>
    <w:rsid w:val="001E05AB"/>
    <w:rsid w:val="001E3E93"/>
    <w:rsid w:val="001E6730"/>
    <w:rsid w:val="001F6AE8"/>
    <w:rsid w:val="002016BC"/>
    <w:rsid w:val="00212E7D"/>
    <w:rsid w:val="00224F6B"/>
    <w:rsid w:val="00241841"/>
    <w:rsid w:val="00264775"/>
    <w:rsid w:val="00265F8B"/>
    <w:rsid w:val="00275DE8"/>
    <w:rsid w:val="00275EE8"/>
    <w:rsid w:val="002777B6"/>
    <w:rsid w:val="00286258"/>
    <w:rsid w:val="00297382"/>
    <w:rsid w:val="00297E4B"/>
    <w:rsid w:val="002A6C9A"/>
    <w:rsid w:val="002B23B7"/>
    <w:rsid w:val="002B62F5"/>
    <w:rsid w:val="002C2B9F"/>
    <w:rsid w:val="002D1847"/>
    <w:rsid w:val="002D68D6"/>
    <w:rsid w:val="002D7A1C"/>
    <w:rsid w:val="002E6BAD"/>
    <w:rsid w:val="002F1203"/>
    <w:rsid w:val="002F31AA"/>
    <w:rsid w:val="003003AA"/>
    <w:rsid w:val="00312B1C"/>
    <w:rsid w:val="0031439C"/>
    <w:rsid w:val="00315D51"/>
    <w:rsid w:val="00320A20"/>
    <w:rsid w:val="0032565D"/>
    <w:rsid w:val="0032698A"/>
    <w:rsid w:val="003374E4"/>
    <w:rsid w:val="00342DA2"/>
    <w:rsid w:val="003431AF"/>
    <w:rsid w:val="00346C8A"/>
    <w:rsid w:val="00370937"/>
    <w:rsid w:val="00397456"/>
    <w:rsid w:val="003B50ED"/>
    <w:rsid w:val="003C65CD"/>
    <w:rsid w:val="003D2111"/>
    <w:rsid w:val="003E105F"/>
    <w:rsid w:val="003E26ED"/>
    <w:rsid w:val="003E3CD6"/>
    <w:rsid w:val="003E61DA"/>
    <w:rsid w:val="003F2AA1"/>
    <w:rsid w:val="003F2C19"/>
    <w:rsid w:val="003F4DFF"/>
    <w:rsid w:val="003F4F25"/>
    <w:rsid w:val="004115C9"/>
    <w:rsid w:val="004221E9"/>
    <w:rsid w:val="00447DC8"/>
    <w:rsid w:val="004727A6"/>
    <w:rsid w:val="0047716E"/>
    <w:rsid w:val="004B603D"/>
    <w:rsid w:val="004C2BED"/>
    <w:rsid w:val="004D7EA6"/>
    <w:rsid w:val="004E350F"/>
    <w:rsid w:val="004F7A6E"/>
    <w:rsid w:val="00502BB0"/>
    <w:rsid w:val="005040D0"/>
    <w:rsid w:val="00537475"/>
    <w:rsid w:val="005637BB"/>
    <w:rsid w:val="005776F0"/>
    <w:rsid w:val="005830A3"/>
    <w:rsid w:val="00592029"/>
    <w:rsid w:val="00592DE2"/>
    <w:rsid w:val="00594FB5"/>
    <w:rsid w:val="005A04CC"/>
    <w:rsid w:val="005B2CD0"/>
    <w:rsid w:val="005D44C4"/>
    <w:rsid w:val="005D6181"/>
    <w:rsid w:val="005D6799"/>
    <w:rsid w:val="005E5D50"/>
    <w:rsid w:val="005E73FD"/>
    <w:rsid w:val="005F4DCC"/>
    <w:rsid w:val="005F6310"/>
    <w:rsid w:val="00614500"/>
    <w:rsid w:val="00620092"/>
    <w:rsid w:val="00641134"/>
    <w:rsid w:val="006541E5"/>
    <w:rsid w:val="00666DD9"/>
    <w:rsid w:val="00680054"/>
    <w:rsid w:val="00685E3D"/>
    <w:rsid w:val="00691AA8"/>
    <w:rsid w:val="00692DD1"/>
    <w:rsid w:val="006952EC"/>
    <w:rsid w:val="006973B4"/>
    <w:rsid w:val="006B3DD4"/>
    <w:rsid w:val="006C50F8"/>
    <w:rsid w:val="006C5384"/>
    <w:rsid w:val="006E5605"/>
    <w:rsid w:val="00700A38"/>
    <w:rsid w:val="00741C41"/>
    <w:rsid w:val="0075074F"/>
    <w:rsid w:val="00753345"/>
    <w:rsid w:val="00753F26"/>
    <w:rsid w:val="00755C7B"/>
    <w:rsid w:val="007622CF"/>
    <w:rsid w:val="0076461C"/>
    <w:rsid w:val="00765393"/>
    <w:rsid w:val="00772D51"/>
    <w:rsid w:val="007805EB"/>
    <w:rsid w:val="00780EAB"/>
    <w:rsid w:val="00793572"/>
    <w:rsid w:val="00794610"/>
    <w:rsid w:val="007971B7"/>
    <w:rsid w:val="00797B39"/>
    <w:rsid w:val="007B0D20"/>
    <w:rsid w:val="007B12D0"/>
    <w:rsid w:val="007C5E3C"/>
    <w:rsid w:val="007C73E6"/>
    <w:rsid w:val="007E5065"/>
    <w:rsid w:val="007F23D9"/>
    <w:rsid w:val="007F5365"/>
    <w:rsid w:val="008207A6"/>
    <w:rsid w:val="0082397E"/>
    <w:rsid w:val="008261A0"/>
    <w:rsid w:val="00826E6F"/>
    <w:rsid w:val="008414C2"/>
    <w:rsid w:val="008430A6"/>
    <w:rsid w:val="0085203E"/>
    <w:rsid w:val="008620BC"/>
    <w:rsid w:val="008641D1"/>
    <w:rsid w:val="00883A66"/>
    <w:rsid w:val="008955EA"/>
    <w:rsid w:val="00895749"/>
    <w:rsid w:val="008957F7"/>
    <w:rsid w:val="00896F89"/>
    <w:rsid w:val="008B01B8"/>
    <w:rsid w:val="008B3318"/>
    <w:rsid w:val="008B5C35"/>
    <w:rsid w:val="008C725D"/>
    <w:rsid w:val="008C77BC"/>
    <w:rsid w:val="008D5CB1"/>
    <w:rsid w:val="008E1C52"/>
    <w:rsid w:val="008E60D9"/>
    <w:rsid w:val="00901F4E"/>
    <w:rsid w:val="009244A6"/>
    <w:rsid w:val="00926043"/>
    <w:rsid w:val="00941B10"/>
    <w:rsid w:val="009568F1"/>
    <w:rsid w:val="00961681"/>
    <w:rsid w:val="0096311F"/>
    <w:rsid w:val="009644D4"/>
    <w:rsid w:val="009652AA"/>
    <w:rsid w:val="009815EE"/>
    <w:rsid w:val="009848F0"/>
    <w:rsid w:val="00985830"/>
    <w:rsid w:val="009870F9"/>
    <w:rsid w:val="009A584B"/>
    <w:rsid w:val="009B00D7"/>
    <w:rsid w:val="009B2426"/>
    <w:rsid w:val="009E374F"/>
    <w:rsid w:val="009F1015"/>
    <w:rsid w:val="009F229D"/>
    <w:rsid w:val="00A03D30"/>
    <w:rsid w:val="00A12672"/>
    <w:rsid w:val="00A150E4"/>
    <w:rsid w:val="00A2204B"/>
    <w:rsid w:val="00A26A44"/>
    <w:rsid w:val="00A3368B"/>
    <w:rsid w:val="00A377FD"/>
    <w:rsid w:val="00A37AC3"/>
    <w:rsid w:val="00A4045A"/>
    <w:rsid w:val="00A5261D"/>
    <w:rsid w:val="00A5549A"/>
    <w:rsid w:val="00A60D00"/>
    <w:rsid w:val="00A70656"/>
    <w:rsid w:val="00A7639E"/>
    <w:rsid w:val="00A80058"/>
    <w:rsid w:val="00A81826"/>
    <w:rsid w:val="00A86724"/>
    <w:rsid w:val="00A924A6"/>
    <w:rsid w:val="00AA382F"/>
    <w:rsid w:val="00AC7B47"/>
    <w:rsid w:val="00AD4AF5"/>
    <w:rsid w:val="00AE346A"/>
    <w:rsid w:val="00AE72D3"/>
    <w:rsid w:val="00AE7779"/>
    <w:rsid w:val="00B07BF3"/>
    <w:rsid w:val="00B217F1"/>
    <w:rsid w:val="00B3394E"/>
    <w:rsid w:val="00B40E6C"/>
    <w:rsid w:val="00B42381"/>
    <w:rsid w:val="00B4656B"/>
    <w:rsid w:val="00B6416E"/>
    <w:rsid w:val="00B7118F"/>
    <w:rsid w:val="00B73F58"/>
    <w:rsid w:val="00BB77C4"/>
    <w:rsid w:val="00BE53AA"/>
    <w:rsid w:val="00BF5A10"/>
    <w:rsid w:val="00C0387D"/>
    <w:rsid w:val="00C052C0"/>
    <w:rsid w:val="00C052EC"/>
    <w:rsid w:val="00C14319"/>
    <w:rsid w:val="00C3494E"/>
    <w:rsid w:val="00C3499B"/>
    <w:rsid w:val="00C403F4"/>
    <w:rsid w:val="00C52D9E"/>
    <w:rsid w:val="00C61A43"/>
    <w:rsid w:val="00C6442C"/>
    <w:rsid w:val="00C67479"/>
    <w:rsid w:val="00C82EE1"/>
    <w:rsid w:val="00C94745"/>
    <w:rsid w:val="00CA4BE3"/>
    <w:rsid w:val="00CC08D2"/>
    <w:rsid w:val="00CD1F30"/>
    <w:rsid w:val="00CD248C"/>
    <w:rsid w:val="00CD52EE"/>
    <w:rsid w:val="00CF43DA"/>
    <w:rsid w:val="00CF6BD2"/>
    <w:rsid w:val="00D10236"/>
    <w:rsid w:val="00D176CA"/>
    <w:rsid w:val="00D400F0"/>
    <w:rsid w:val="00D41A68"/>
    <w:rsid w:val="00D54F71"/>
    <w:rsid w:val="00D62F3D"/>
    <w:rsid w:val="00D70887"/>
    <w:rsid w:val="00D72171"/>
    <w:rsid w:val="00D82E50"/>
    <w:rsid w:val="00D876AC"/>
    <w:rsid w:val="00DA4DBA"/>
    <w:rsid w:val="00DA4EA4"/>
    <w:rsid w:val="00DC1136"/>
    <w:rsid w:val="00DC68C9"/>
    <w:rsid w:val="00DD605A"/>
    <w:rsid w:val="00DD67CE"/>
    <w:rsid w:val="00DF2079"/>
    <w:rsid w:val="00DF3D9D"/>
    <w:rsid w:val="00E041CE"/>
    <w:rsid w:val="00E1310B"/>
    <w:rsid w:val="00E160F9"/>
    <w:rsid w:val="00E22472"/>
    <w:rsid w:val="00E22ACF"/>
    <w:rsid w:val="00E230D9"/>
    <w:rsid w:val="00E43146"/>
    <w:rsid w:val="00E43359"/>
    <w:rsid w:val="00E454AB"/>
    <w:rsid w:val="00E679E1"/>
    <w:rsid w:val="00E719C4"/>
    <w:rsid w:val="00E804EF"/>
    <w:rsid w:val="00E876A6"/>
    <w:rsid w:val="00E97EB9"/>
    <w:rsid w:val="00EA15E7"/>
    <w:rsid w:val="00EB0F1B"/>
    <w:rsid w:val="00EB6E55"/>
    <w:rsid w:val="00EC4F04"/>
    <w:rsid w:val="00EE134B"/>
    <w:rsid w:val="00F01060"/>
    <w:rsid w:val="00F11659"/>
    <w:rsid w:val="00F168F1"/>
    <w:rsid w:val="00F251AC"/>
    <w:rsid w:val="00F2611C"/>
    <w:rsid w:val="00F60856"/>
    <w:rsid w:val="00F66477"/>
    <w:rsid w:val="00F713C4"/>
    <w:rsid w:val="00F76F83"/>
    <w:rsid w:val="00F80042"/>
    <w:rsid w:val="00F915B8"/>
    <w:rsid w:val="00F930A8"/>
    <w:rsid w:val="00F94B86"/>
    <w:rsid w:val="00FC3253"/>
    <w:rsid w:val="00FC5228"/>
    <w:rsid w:val="00FD042E"/>
    <w:rsid w:val="00FD31AB"/>
    <w:rsid w:val="00FD7251"/>
    <w:rsid w:val="00FE7CC4"/>
    <w:rsid w:val="00FF27E7"/>
    <w:rsid w:val="2E94577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3110</Words>
  <Characters>3238</Characters>
  <Lines>25</Lines>
  <Paragraphs>7</Paragraphs>
  <TotalTime>156</TotalTime>
  <ScaleCrop>false</ScaleCrop>
  <LinksUpToDate>false</LinksUpToDate>
  <CharactersWithSpaces>3505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2025-12-23T08:10:03Z</dcterms:modified>
  <cp:revision>285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667871E7FAB14821B0C0C38ECFB415EB_12</vt:lpwstr>
  </property>
</Properties>
</file>