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AF1FD">
      <w:pPr>
        <w:spacing w:line="600" w:lineRule="exact"/>
        <w:rPr>
          <w:rFonts w:ascii="仿宋_GB2312" w:eastAsia="仿宋_GB2312"/>
          <w:sz w:val="32"/>
          <w:szCs w:val="32"/>
        </w:rPr>
      </w:pPr>
      <w:bookmarkStart w:id="0" w:name="_GoBack"/>
      <w:bookmarkEnd w:id="0"/>
    </w:p>
    <w:p w14:paraId="526F0C98">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高新区教育文体局</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738ADB65">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0C0433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FCA54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3BE5BD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文化、教育、体育、卫生、计划生育、爱国卫生、食品安全等工作方针政策、法律、法规及规章，研究拟定全区文教卫生、人口和计划生育等社会事业中长期发展规划、年度计划及相关的地方性行政管理规定，并组织实施；</w:t>
      </w:r>
    </w:p>
    <w:p w14:paraId="14E92B0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、负责对全区文化、体育工作进行指导，并对文化、体育市场进行监督和管理；</w:t>
      </w:r>
    </w:p>
    <w:p w14:paraId="67F1D8C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、负责全区学前教育、基础教育、职业技术教育、成人教育、民办教育等教育行政管理、教育督学管理和教育安全管理工作。指导开展教育科研及教师培训工作。组织全区的招生考试工作；</w:t>
      </w:r>
    </w:p>
    <w:p w14:paraId="3A8FFEF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、负责全区公立中小学、幼儿园校舍的建设和维修；</w:t>
      </w:r>
    </w:p>
    <w:p w14:paraId="4C336DA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、负责全区医疗、文化体育、教学设备设施的配备和管理；</w:t>
      </w:r>
    </w:p>
    <w:p w14:paraId="7E3E758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、负责全区教育信息系统建设、管理和维护工作；</w:t>
      </w:r>
    </w:p>
    <w:p w14:paraId="2E3BB67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、负责全区教师队伍继续教育岗位培训工作；</w:t>
      </w:r>
    </w:p>
    <w:p w14:paraId="6AD06BF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、负责全区学校的在编人员管理工作；负责全区教师资格的审定、职称评审、工资福利、人事档案管理等工作；</w:t>
      </w:r>
    </w:p>
    <w:p w14:paraId="654B267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、负责全区学校的学籍管理工作；</w:t>
      </w:r>
    </w:p>
    <w:p w14:paraId="5640A0C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、负责编制全区教育经费预决算及学校经费核拨等工作；</w:t>
      </w:r>
    </w:p>
    <w:p w14:paraId="716BE1B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全区医疗、卫生、预防、保健工作。组织开展妇幼卫生、食品卫生、化妆品卫生、公共场所卫生、学校卫生、劳动卫生等监督管理工作。负责医疗机构的行政管理工作和监督工作。负责全区卫生科研和继续医学教育及培训工作；</w:t>
      </w:r>
    </w:p>
    <w:p w14:paraId="1F3361A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、负责全区卫生技术人员资格认证、医生护士注册及卫生行风建设。负责医疗纠纷、医疗事故的处理工作。负责地方病防治和重大突发事件及自然灾害的伤病员救治与疾病控制工作；</w:t>
      </w:r>
    </w:p>
    <w:p w14:paraId="2FD7451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13</w:t>
      </w:r>
      <w:r>
        <w:rPr>
          <w:rFonts w:hint="eastAsia" w:ascii="仿宋" w:hAnsi="仿宋" w:eastAsia="仿宋" w:cs="仿宋"/>
          <w:color w:val="000000"/>
          <w:kern w:val="0"/>
          <w:sz w:val="30"/>
          <w:szCs w:val="30"/>
        </w:rPr>
        <w:t>、负责全区计划生育工作，负责查处违反计划生育政策的行为；</w:t>
      </w:r>
    </w:p>
    <w:p w14:paraId="2F8F618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14</w:t>
      </w:r>
      <w:r>
        <w:rPr>
          <w:rFonts w:hint="eastAsia" w:ascii="仿宋" w:hAnsi="仿宋" w:eastAsia="仿宋" w:cs="仿宋"/>
          <w:color w:val="000000"/>
          <w:kern w:val="0"/>
          <w:sz w:val="30"/>
          <w:szCs w:val="30"/>
        </w:rPr>
        <w:t>、负责全区爱国卫生工作；</w:t>
      </w:r>
    </w:p>
    <w:p w14:paraId="793ABC7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、负责全区食品安全监督管理工作。</w:t>
      </w:r>
    </w:p>
    <w:p w14:paraId="12F9938B">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C498854">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教育文体局</w:t>
      </w:r>
      <w:r>
        <w:rPr>
          <w:rFonts w:hint="eastAsia" w:ascii="仿宋" w:hAnsi="仿宋" w:eastAsia="仿宋" w:cs="仿宋"/>
          <w:color w:val="000000"/>
          <w:kern w:val="0"/>
          <w:sz w:val="30"/>
          <w:szCs w:val="30"/>
        </w:rPr>
        <w:t>部门预算为本部综合收支计划，无二级单位。</w:t>
      </w:r>
    </w:p>
    <w:p w14:paraId="027E9C85">
      <w:pPr>
        <w:widowControl/>
        <w:spacing w:line="560" w:lineRule="exact"/>
        <w:ind w:firstLine="600" w:firstLineChars="200"/>
        <w:jc w:val="left"/>
        <w:rPr>
          <w:rFonts w:ascii="仿宋" w:hAnsi="仿宋" w:eastAsia="仿宋" w:cs="仿宋"/>
          <w:color w:val="000000"/>
          <w:kern w:val="0"/>
          <w:sz w:val="30"/>
          <w:szCs w:val="30"/>
        </w:rPr>
      </w:pPr>
    </w:p>
    <w:p w14:paraId="320256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F605DB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BA10C0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3616.6</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color w:val="000000"/>
          <w:kern w:val="0"/>
          <w:sz w:val="30"/>
          <w:szCs w:val="30"/>
        </w:rPr>
        <w:t>3616.6</w:t>
      </w:r>
      <w:r>
        <w:rPr>
          <w:rFonts w:hint="eastAsia" w:ascii="仿宋" w:hAnsi="仿宋" w:eastAsia="仿宋" w:cs="仿宋"/>
          <w:color w:val="000000"/>
          <w:kern w:val="0"/>
          <w:sz w:val="30"/>
          <w:szCs w:val="30"/>
        </w:rPr>
        <w:t>万</w:t>
      </w:r>
      <w:r>
        <w:rPr>
          <w:rFonts w:hint="eastAsia" w:ascii="仿宋" w:hAnsi="仿宋" w:eastAsia="仿宋" w:cs="仿宋"/>
          <w:sz w:val="30"/>
          <w:szCs w:val="30"/>
        </w:rPr>
        <w:t>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年预算数增加1514.6万元，其中财政拨款收入比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年预算数增加1514.6万元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年预算数增加1514.6万元，全部为</w:t>
      </w:r>
      <w:r>
        <w:rPr>
          <w:rFonts w:hint="eastAsia" w:ascii="仿宋" w:hAnsi="仿宋" w:eastAsia="仿宋" w:cs="仿宋"/>
          <w:sz w:val="30"/>
          <w:szCs w:val="30"/>
        </w:rPr>
        <w:t>商品和服务支出。</w:t>
      </w:r>
    </w:p>
    <w:p w14:paraId="33F66AD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BEA2E03">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无“三公”经费，同比减少5.3万元。</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BCFED9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C3B503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10.5</w:t>
      </w:r>
      <w:r>
        <w:rPr>
          <w:rFonts w:hint="eastAsia" w:ascii="仿宋" w:hAnsi="仿宋" w:eastAsia="仿宋" w:cs="仿宋"/>
          <w:color w:val="000000"/>
          <w:kern w:val="0"/>
          <w:sz w:val="30"/>
          <w:szCs w:val="30"/>
        </w:rPr>
        <w:t>万元。</w:t>
      </w:r>
    </w:p>
    <w:p w14:paraId="00DFDB4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469F9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1ED3AE9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6BB2C0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0AA94E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58179C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国有资产占有使用情况说明为：截至2019年12月31日，部门（单位）共有车辆2辆；单位价值50万元（含）以上通用设备0台（套）；单位价值100万元以上专用设备0台（套）。</w:t>
      </w:r>
    </w:p>
    <w:p w14:paraId="0FE264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475C185">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20年，按照“先有绩效，后有预算”原则，本部门共计编制绩效目标11个，预算金额</w:t>
      </w:r>
      <w:r>
        <w:rPr>
          <w:rFonts w:ascii="仿宋" w:hAnsi="仿宋" w:eastAsia="仿宋" w:cs="Verdana"/>
          <w:color w:val="000000"/>
          <w:kern w:val="0"/>
          <w:sz w:val="30"/>
          <w:szCs w:val="30"/>
        </w:rPr>
        <w:t>3606.1</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w:t>
      </w:r>
    </w:p>
    <w:p w14:paraId="56A39610">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八、高新区公共卫生服务中心建设项目情况说明</w:t>
      </w:r>
    </w:p>
    <w:p w14:paraId="00B47615">
      <w:pPr>
        <w:numPr>
          <w:ilvl w:val="0"/>
          <w:numId w:val="1"/>
        </w:numPr>
        <w:ind w:firstLine="602" w:firstLineChars="200"/>
        <w:rPr>
          <w:rFonts w:ascii="仿宋" w:hAnsi="仿宋" w:eastAsia="仿宋" w:cs="仿宋"/>
          <w:b/>
          <w:bCs/>
          <w:sz w:val="30"/>
          <w:szCs w:val="30"/>
        </w:rPr>
      </w:pPr>
      <w:r>
        <w:rPr>
          <w:rFonts w:hint="eastAsia" w:ascii="仿宋" w:hAnsi="仿宋" w:eastAsia="仿宋" w:cs="仿宋"/>
          <w:b/>
          <w:bCs/>
          <w:sz w:val="30"/>
          <w:szCs w:val="30"/>
        </w:rPr>
        <w:t>项目概况</w:t>
      </w:r>
    </w:p>
    <w:p w14:paraId="74BF2F78">
      <w:pPr>
        <w:ind w:firstLine="602" w:firstLineChars="200"/>
        <w:rPr>
          <w:rFonts w:ascii="仿宋" w:hAnsi="仿宋" w:eastAsia="仿宋" w:cs="仿宋"/>
          <w:b/>
          <w:bCs/>
          <w:sz w:val="30"/>
          <w:szCs w:val="30"/>
        </w:rPr>
      </w:pPr>
      <w:r>
        <w:rPr>
          <w:rFonts w:hint="eastAsia" w:ascii="仿宋" w:hAnsi="仿宋" w:eastAsia="仿宋" w:cs="仿宋"/>
          <w:b/>
          <w:bCs/>
          <w:sz w:val="30"/>
          <w:szCs w:val="30"/>
        </w:rPr>
        <w:t>1、项目简介</w:t>
      </w:r>
    </w:p>
    <w:p w14:paraId="74EE9ECF">
      <w:pPr>
        <w:widowControl/>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本项目将现有黄泥川地区一处综合楼改造为集疾病预防控制中心、卫生监督所、妇幼保健与计划生育服务中心、医疗服务中心、急救分站等功能于一体的卫生服务综合体。</w:t>
      </w:r>
    </w:p>
    <w:p w14:paraId="79FD7663">
      <w:pPr>
        <w:widowControl/>
        <w:ind w:firstLine="602" w:firstLineChars="200"/>
        <w:jc w:val="left"/>
        <w:rPr>
          <w:rFonts w:ascii="仿宋" w:hAnsi="仿宋" w:eastAsia="仿宋" w:cs="仿宋"/>
          <w:b/>
          <w:sz w:val="30"/>
          <w:szCs w:val="30"/>
        </w:rPr>
      </w:pPr>
      <w:r>
        <w:rPr>
          <w:rFonts w:hint="eastAsia" w:ascii="仿宋" w:hAnsi="仿宋" w:eastAsia="仿宋" w:cs="仿宋"/>
          <w:b/>
          <w:color w:val="000000"/>
          <w:kern w:val="0"/>
          <w:sz w:val="30"/>
          <w:szCs w:val="30"/>
        </w:rPr>
        <w:t xml:space="preserve">2、建设地点 </w:t>
      </w:r>
    </w:p>
    <w:p w14:paraId="541519B0">
      <w:pPr>
        <w:widowControl/>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项目建设地点位于大连市高新区黄泥川秀川街端头以东，南侧距旅顺南路1.5公里，距地铁12号线黄泥川站1.6公里，西侧距前黄线500米。场址三面环山，自然环境良好。</w:t>
      </w:r>
    </w:p>
    <w:p w14:paraId="054E510E">
      <w:pPr>
        <w:widowControl/>
        <w:ind w:firstLine="602" w:firstLineChars="200"/>
        <w:jc w:val="left"/>
        <w:rPr>
          <w:rFonts w:ascii="仿宋" w:hAnsi="仿宋" w:eastAsia="仿宋" w:cs="仿宋"/>
          <w:b/>
          <w:sz w:val="30"/>
          <w:szCs w:val="30"/>
        </w:rPr>
      </w:pPr>
      <w:r>
        <w:rPr>
          <w:rFonts w:hint="eastAsia" w:ascii="仿宋" w:hAnsi="仿宋" w:eastAsia="仿宋" w:cs="仿宋"/>
          <w:b/>
          <w:color w:val="000000"/>
          <w:kern w:val="0"/>
          <w:sz w:val="30"/>
          <w:szCs w:val="30"/>
        </w:rPr>
        <w:t>3、建设内容及规模</w:t>
      </w:r>
    </w:p>
    <w:p w14:paraId="038A8454">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项目总用地面积8162.13平方米，总建筑面积14469.32 平方米。现状功能为办公综合楼，共八层，建筑高度33.60米，其中，一二层层高4.2米，3-8层层高3.6米，室内外高差0.6米。为一类高层建筑，结构形式为框架结构。</w:t>
      </w:r>
    </w:p>
    <w:p w14:paraId="53B38E59">
      <w:pPr>
        <w:widowControl/>
        <w:numPr>
          <w:ilvl w:val="0"/>
          <w:numId w:val="1"/>
        </w:numPr>
        <w:ind w:firstLine="602" w:firstLineChars="200"/>
        <w:jc w:val="left"/>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立项依据</w:t>
      </w:r>
    </w:p>
    <w:p w14:paraId="7E720003">
      <w:pPr>
        <w:widowControl/>
        <w:ind w:firstLine="602" w:firstLineChars="200"/>
        <w:jc w:val="left"/>
        <w:rPr>
          <w:rFonts w:ascii="仿宋" w:hAnsi="仿宋" w:eastAsia="仿宋" w:cs="仿宋"/>
          <w:b/>
          <w:color w:val="000000"/>
          <w:kern w:val="0"/>
          <w:sz w:val="30"/>
          <w:szCs w:val="30"/>
        </w:rPr>
      </w:pPr>
      <w:r>
        <w:rPr>
          <w:rFonts w:hint="eastAsia" w:ascii="仿宋" w:hAnsi="仿宋" w:eastAsia="仿宋" w:cs="仿宋"/>
          <w:b/>
          <w:color w:val="000000"/>
          <w:kern w:val="0"/>
          <w:sz w:val="30"/>
          <w:szCs w:val="30"/>
        </w:rPr>
        <w:t>1、项目建设符合国家、地方等政策规划要求</w:t>
      </w:r>
    </w:p>
    <w:p w14:paraId="139CF705">
      <w:pPr>
        <w:widowControl/>
        <w:ind w:firstLine="450" w:firstLineChars="150"/>
        <w:jc w:val="left"/>
        <w:rPr>
          <w:rFonts w:ascii="仿宋" w:hAnsi="仿宋" w:eastAsia="仿宋" w:cs="仿宋"/>
          <w:sz w:val="30"/>
          <w:szCs w:val="30"/>
        </w:rPr>
      </w:pPr>
      <w:r>
        <w:rPr>
          <w:rFonts w:hint="eastAsia" w:ascii="仿宋" w:hAnsi="仿宋" w:eastAsia="仿宋" w:cs="仿宋"/>
          <w:color w:val="000000"/>
          <w:kern w:val="0"/>
          <w:sz w:val="30"/>
          <w:szCs w:val="30"/>
        </w:rPr>
        <w:t xml:space="preserve">《中华人民共和国国民经济和社会发展第十三个五年规划纲要》提出完善国家基本公共卫生服务项目和重大公共卫生服务项目，提高服务质量效率和均等化水平。提升基层公共卫生服务能力。《关于印发&lt;全民健康保障工程建设规划&gt;的通知》（发改社会〔2016〕2439号）目标到2020年，在中央和地方的共同努力下，全面改善医疗卫生薄弱环节基础设施条件，明显提升医疗卫生服务能力。《“健康中国2030”规划纲要》提出全面建成体系完整、分工明确、功能互补、密切协作、运行高效的整合型医疗卫生服务体系。县和市域内基本医疗卫生资源 按常住人口和服务半径合理布局，实现人人享有均等化的基本医疗卫 生服务。完善突发事件卫生应急体系，到2030年，突发事件卫生应 急处置能力达到发达国家水平。 </w:t>
      </w:r>
    </w:p>
    <w:p w14:paraId="4F5D0A87">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《大连市卫生和计划生育事业发展</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十三五</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规划》提出，“加强医疗卫生服务体系和能力建设。全面落实《全国医疗卫生服务体系规划纲要（2015-2020年）》和《辽宁省医疗卫生服务体系规划（2015-2020年）》，出台《大连市区域卫生规划（2016-2020 年）》和《大连市医疗 机构设置规划（2016-2020年）》，加快构建体系完整、分工明确、功 能互补、密切协作的整合性医疗卫生服务体系。同时《大连市国民经 济和社会发展</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十三五</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规划纲要》中提出，强化公共卫生体系建设，进 一步提高医疗服务水平。着重健全以县级医疗卫生机构为龙头、乡镇卫生院为枢纽、村卫生室为基础的农村医疗卫生服务体系。提升基层医疗卫生服务水平，加强基层医疗卫生机构标准化建设。加强人才培养和引进，改善就医条件，完善医疗卫生服务体系，建立分级诊疗模式，提高医疗服务水平。</w:t>
      </w:r>
    </w:p>
    <w:p w14:paraId="227B1C32">
      <w:pPr>
        <w:widowControl/>
        <w:jc w:val="left"/>
        <w:rPr>
          <w:rFonts w:ascii="仿宋" w:hAnsi="仿宋" w:eastAsia="仿宋" w:cs="仿宋"/>
          <w:b/>
          <w:bCs/>
          <w:sz w:val="30"/>
          <w:szCs w:val="30"/>
        </w:rPr>
      </w:pPr>
      <w:r>
        <w:rPr>
          <w:rFonts w:hint="eastAsia" w:ascii="仿宋" w:hAnsi="仿宋" w:eastAsia="仿宋" w:cs="仿宋"/>
          <w:b/>
          <w:bCs/>
          <w:color w:val="000000"/>
          <w:kern w:val="0"/>
          <w:sz w:val="30"/>
          <w:szCs w:val="30"/>
        </w:rPr>
        <w:t xml:space="preserve">    2、项目建设满足服务地方经济社会发展的需要 </w:t>
      </w:r>
    </w:p>
    <w:p w14:paraId="3306F042">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随着高新区经济不断发展，人民生活水平与医疗服务质量的矛盾日益突出，制约卫生事业发展的体制性、机制性、结构性问题未根本解决，卫生事业发展滞后的问题仍然比较突出。我国人口总量仍在持续增长，老龄化进程加快，群众卫生服务需求不断提高。城市化、工业化引发的人口流动、环境污染、突发公共卫生事件、职业卫生和意外伤害等一系列社会问题，使卫生服务体系和医疗保障体系面临严峻挑战。 </w:t>
      </w:r>
    </w:p>
    <w:p w14:paraId="32269F54">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自抗击新型冠状病毒感染的肺炎斗争开展以来，充分体现出要保持国家经济持续稳定发展，应重视加强公共健康、社会保障、环境保护等工作，重视经济建设和社会事业协调发展，必须有安定的社会环境和人们良好的健康水平予以支撑和保证。因此政府应加大对社会事业的投入，当前尤其要加强公共卫生事业基础设施的建设，进一步增强全社会对传染病的预防、监测和救治能力。 </w:t>
      </w:r>
    </w:p>
    <w:p w14:paraId="545C1520">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通过本项目建设，可满足高新区现有22万群众和满足未来增加的人民群众就医需要。完善现有服务功能，是保障人民群众身体健康的重要举措，是保障区经济发展的重要举措，有利于高新区社会主义和谐社会的建设发展。</w:t>
      </w:r>
    </w:p>
    <w:p w14:paraId="1440B123">
      <w:pPr>
        <w:widowControl/>
        <w:ind w:firstLine="602" w:firstLineChars="200"/>
        <w:jc w:val="left"/>
        <w:rPr>
          <w:rFonts w:ascii="仿宋" w:hAnsi="仿宋" w:eastAsia="仿宋" w:cs="仿宋"/>
          <w:b/>
          <w:sz w:val="30"/>
          <w:szCs w:val="30"/>
        </w:rPr>
      </w:pPr>
      <w:r>
        <w:rPr>
          <w:rFonts w:hint="eastAsia" w:ascii="仿宋" w:hAnsi="仿宋" w:eastAsia="仿宋" w:cs="仿宋"/>
          <w:b/>
          <w:color w:val="000000"/>
          <w:kern w:val="0"/>
          <w:sz w:val="30"/>
          <w:szCs w:val="30"/>
        </w:rPr>
        <w:t xml:space="preserve">3、项目建设是高新区医疗卫生事业自身发展的需要 </w:t>
      </w:r>
    </w:p>
    <w:p w14:paraId="1D9F01D8">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随着高新区社会经济的迅速发展，人民群众生活水平的不断提高，卫生条件逐步改善，医疗水平亦相应提高。为适应社会的发展与人民的需要，高新区医疗卫生事业需要与时俱进的建设与发展。</w:t>
      </w:r>
    </w:p>
    <w:p w14:paraId="44824320">
      <w:pPr>
        <w:widowControl/>
        <w:ind w:firstLine="600" w:firstLineChars="200"/>
        <w:jc w:val="left"/>
        <w:rPr>
          <w:rFonts w:ascii="仿宋" w:hAnsi="仿宋" w:eastAsia="仿宋"/>
          <w:sz w:val="30"/>
          <w:szCs w:val="30"/>
        </w:rPr>
      </w:pPr>
      <w:r>
        <w:rPr>
          <w:rFonts w:ascii="仿宋" w:hAnsi="仿宋" w:eastAsia="仿宋" w:cs="仿宋_GB2312"/>
          <w:color w:val="000000"/>
          <w:kern w:val="0"/>
          <w:sz w:val="30"/>
          <w:szCs w:val="30"/>
        </w:rPr>
        <w:t>近期新型冠状病毒肺炎疫情蔓延至各国，我国形势虽逐步好转，但由于高新区是大连市高新技术产业基地、自主创新平台、软件和服务外包的核心区，也是大连市的对外开放先导区、科技兴市的示范区。综合上述高新区独特属性，该区域对外交流度高、人员流动性极强，但目前高新区卫生监督所和疾控中心合署办公，办公场所非常简陋，妇幼保健院和急救中心、实验室没有办公场所，属于空白，对于基层疫情管控的基础条件不够完全。</w:t>
      </w:r>
    </w:p>
    <w:p w14:paraId="2322BE12">
      <w:pPr>
        <w:widowControl/>
        <w:ind w:firstLine="600" w:firstLineChars="200"/>
        <w:jc w:val="left"/>
        <w:rPr>
          <w:rFonts w:ascii="仿宋" w:hAnsi="仿宋" w:eastAsia="仿宋" w:cs="仿宋_GB2312"/>
          <w:color w:val="000000"/>
          <w:kern w:val="0"/>
          <w:sz w:val="30"/>
          <w:szCs w:val="30"/>
        </w:rPr>
      </w:pPr>
      <w:r>
        <w:rPr>
          <w:rFonts w:ascii="仿宋" w:hAnsi="仿宋" w:eastAsia="仿宋" w:cs="仿宋_GB2312"/>
          <w:color w:val="000000"/>
          <w:kern w:val="0"/>
          <w:sz w:val="30"/>
          <w:szCs w:val="30"/>
        </w:rPr>
        <w:t>本项目的建设将完善高新区基本医疗服务功能，满足人民群众看病就医的需求，改善周边群众就医条件，完善医疗卫生服务体系，提高高新区医疗服务水平，同时对突发公共卫生事件的管控起到积极作用。</w:t>
      </w:r>
    </w:p>
    <w:p w14:paraId="49F2E216">
      <w:pPr>
        <w:widowControl/>
        <w:ind w:firstLine="602" w:firstLineChars="200"/>
        <w:jc w:val="left"/>
        <w:rPr>
          <w:rFonts w:ascii="仿宋" w:hAnsi="仿宋" w:eastAsia="仿宋" w:cs="仿宋_GB2312"/>
          <w:b/>
          <w:color w:val="000000"/>
          <w:kern w:val="0"/>
          <w:sz w:val="30"/>
          <w:szCs w:val="30"/>
        </w:rPr>
      </w:pPr>
      <w:r>
        <w:rPr>
          <w:rFonts w:hint="eastAsia" w:ascii="仿宋" w:hAnsi="仿宋" w:eastAsia="仿宋" w:cs="仿宋_GB2312"/>
          <w:b/>
          <w:color w:val="000000"/>
          <w:kern w:val="0"/>
          <w:sz w:val="30"/>
          <w:szCs w:val="30"/>
        </w:rPr>
        <w:t>4、</w:t>
      </w:r>
      <w:r>
        <w:rPr>
          <w:rFonts w:ascii="仿宋" w:hAnsi="仿宋" w:eastAsia="仿宋" w:cs="仿宋_GB2312"/>
          <w:b/>
          <w:color w:val="000000"/>
          <w:kern w:val="0"/>
          <w:sz w:val="30"/>
          <w:szCs w:val="30"/>
        </w:rPr>
        <w:t>项目建设能够有效改善当地基础设施条件、保障人民健康</w:t>
      </w:r>
    </w:p>
    <w:p w14:paraId="1F6E5FF5">
      <w:pPr>
        <w:widowControl/>
        <w:ind w:firstLine="600" w:firstLineChars="200"/>
        <w:jc w:val="left"/>
        <w:rPr>
          <w:rFonts w:ascii="仿宋" w:hAnsi="仿宋" w:eastAsia="仿宋" w:cs="仿宋_GB2312"/>
          <w:color w:val="000000"/>
          <w:kern w:val="0"/>
          <w:sz w:val="30"/>
          <w:szCs w:val="30"/>
        </w:rPr>
      </w:pPr>
      <w:r>
        <w:rPr>
          <w:rFonts w:ascii="仿宋" w:hAnsi="仿宋" w:eastAsia="仿宋" w:cs="仿宋_GB2312"/>
          <w:color w:val="000000"/>
          <w:kern w:val="0"/>
          <w:sz w:val="30"/>
          <w:szCs w:val="30"/>
        </w:rPr>
        <w:t>随着高新区经济的不断发展，原有高新技术产业园区疾病预防控制中心已不能满足群众的实际医疗服务需求，若情况长期得不到改善，必然会影响当地国民素质健康，影响社会安定团结，影响群众对经济社会发展的信心。加快医疗卫生事业发展，提高公共卫生服务质量与效率，逐步缩小医疗卫生服务差距，可切实解决人民群众的就医需求，使广大人民群众的生命安全得到有效保障，维护社会稳定，促进经济发展。因此，项目的建设十分必要。</w:t>
      </w:r>
    </w:p>
    <w:p w14:paraId="738D3D82">
      <w:pPr>
        <w:widowControl/>
        <w:numPr>
          <w:ilvl w:val="0"/>
          <w:numId w:val="1"/>
        </w:numPr>
        <w:ind w:firstLine="602" w:firstLineChars="200"/>
        <w:jc w:val="left"/>
        <w:rPr>
          <w:rFonts w:ascii="仿宋" w:hAnsi="仿宋" w:eastAsia="仿宋" w:cs="仿宋_GB2312"/>
          <w:b/>
          <w:bCs/>
          <w:color w:val="000000"/>
          <w:kern w:val="0"/>
          <w:sz w:val="30"/>
          <w:szCs w:val="30"/>
        </w:rPr>
      </w:pPr>
      <w:r>
        <w:rPr>
          <w:rFonts w:hint="eastAsia" w:ascii="仿宋" w:hAnsi="仿宋" w:eastAsia="仿宋" w:cs="仿宋_GB2312"/>
          <w:b/>
          <w:bCs/>
          <w:color w:val="000000"/>
          <w:kern w:val="0"/>
          <w:sz w:val="30"/>
          <w:szCs w:val="30"/>
        </w:rPr>
        <w:t>实施主体</w:t>
      </w:r>
    </w:p>
    <w:p w14:paraId="783C0B4C">
      <w:pPr>
        <w:widowControl/>
        <w:ind w:left="420" w:left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该项目由教育文体局组织实施。</w:t>
      </w:r>
    </w:p>
    <w:p w14:paraId="460AB60D">
      <w:pPr>
        <w:widowControl/>
        <w:numPr>
          <w:ilvl w:val="0"/>
          <w:numId w:val="1"/>
        </w:numPr>
        <w:ind w:firstLine="602" w:firstLineChars="200"/>
        <w:jc w:val="left"/>
        <w:rPr>
          <w:rFonts w:ascii="仿宋" w:hAnsi="仿宋" w:eastAsia="仿宋" w:cs="仿宋_GB2312"/>
          <w:b/>
          <w:bCs/>
          <w:color w:val="000000"/>
          <w:kern w:val="0"/>
          <w:sz w:val="30"/>
          <w:szCs w:val="30"/>
        </w:rPr>
      </w:pPr>
      <w:r>
        <w:rPr>
          <w:rFonts w:hint="eastAsia" w:ascii="仿宋" w:hAnsi="仿宋" w:eastAsia="仿宋" w:cs="仿宋_GB2312"/>
          <w:b/>
          <w:bCs/>
          <w:color w:val="000000"/>
          <w:kern w:val="0"/>
          <w:sz w:val="30"/>
          <w:szCs w:val="30"/>
        </w:rPr>
        <w:t>实施方案</w:t>
      </w:r>
    </w:p>
    <w:p w14:paraId="33062726">
      <w:pPr>
        <w:widowControl/>
        <w:ind w:left="601"/>
        <w:jc w:val="left"/>
        <w:rPr>
          <w:rFonts w:ascii="仿宋" w:hAnsi="仿宋" w:eastAsia="仿宋" w:cs="仿宋_GB2312"/>
          <w:b/>
          <w:color w:val="000000"/>
          <w:kern w:val="0"/>
          <w:sz w:val="30"/>
          <w:szCs w:val="30"/>
        </w:rPr>
      </w:pPr>
      <w:r>
        <w:rPr>
          <w:rFonts w:hint="eastAsia" w:ascii="仿宋" w:hAnsi="仿宋" w:eastAsia="仿宋" w:cs="仿宋_GB2312"/>
          <w:b/>
          <w:color w:val="000000"/>
          <w:kern w:val="0"/>
          <w:sz w:val="30"/>
          <w:szCs w:val="30"/>
        </w:rPr>
        <w:t>1、</w:t>
      </w:r>
      <w:r>
        <w:rPr>
          <w:rFonts w:ascii="仿宋" w:hAnsi="仿宋" w:eastAsia="仿宋" w:cs="仿宋_GB2312"/>
          <w:b/>
          <w:color w:val="000000"/>
          <w:kern w:val="0"/>
          <w:sz w:val="30"/>
          <w:szCs w:val="30"/>
        </w:rPr>
        <w:t>项目整体定位及指导思想</w:t>
      </w:r>
    </w:p>
    <w:p w14:paraId="6591780B">
      <w:pPr>
        <w:widowControl/>
        <w:ind w:firstLine="600" w:firstLineChars="200"/>
        <w:jc w:val="left"/>
        <w:rPr>
          <w:rFonts w:ascii="仿宋" w:hAnsi="仿宋" w:eastAsia="仿宋" w:cs="仿宋_GB2312"/>
          <w:color w:val="000000"/>
          <w:kern w:val="0"/>
          <w:sz w:val="30"/>
          <w:szCs w:val="30"/>
        </w:rPr>
      </w:pPr>
      <w:r>
        <w:rPr>
          <w:rFonts w:ascii="仿宋" w:hAnsi="仿宋" w:eastAsia="仿宋" w:cs="仿宋_GB2312"/>
          <w:color w:val="000000"/>
          <w:kern w:val="0"/>
          <w:sz w:val="30"/>
          <w:szCs w:val="30"/>
        </w:rPr>
        <w:t>本项目将根据现代化、科学化、人文化的指导思想要求进行规划设计，结合项目区群众对医疗实际需要，立足现实，面向未来</w:t>
      </w:r>
      <w:r>
        <w:rPr>
          <w:rFonts w:hint="eastAsia" w:ascii="仿宋" w:hAnsi="仿宋" w:eastAsia="仿宋" w:cs="仿宋_GB2312"/>
          <w:color w:val="000000"/>
          <w:kern w:val="0"/>
          <w:sz w:val="30"/>
          <w:szCs w:val="30"/>
        </w:rPr>
        <w:t>，</w:t>
      </w:r>
      <w:r>
        <w:rPr>
          <w:rFonts w:ascii="仿宋" w:hAnsi="仿宋" w:eastAsia="仿宋" w:cs="仿宋_GB2312"/>
          <w:color w:val="000000"/>
          <w:kern w:val="0"/>
          <w:sz w:val="30"/>
          <w:szCs w:val="30"/>
        </w:rPr>
        <w:t>努力达到适应群众的需求，建设规模适度，设施设备先进，服务功能完善，本着动静隔离、文明卫生的原则，最大限度地满足群众医疗服务需求，并具有强烈的现代化气息</w:t>
      </w:r>
      <w:r>
        <w:rPr>
          <w:rFonts w:hint="eastAsia" w:ascii="仿宋" w:hAnsi="仿宋" w:eastAsia="仿宋" w:cs="仿宋_GB2312"/>
          <w:color w:val="000000"/>
          <w:kern w:val="0"/>
          <w:sz w:val="30"/>
          <w:szCs w:val="30"/>
        </w:rPr>
        <w:t>。</w:t>
      </w:r>
      <w:r>
        <w:rPr>
          <w:rFonts w:ascii="仿宋" w:hAnsi="仿宋" w:eastAsia="仿宋" w:cs="仿宋_GB2312"/>
          <w:color w:val="000000"/>
          <w:kern w:val="0"/>
          <w:sz w:val="30"/>
          <w:szCs w:val="30"/>
        </w:rPr>
        <w:t>项目建设能够提高大连高新园区医疗卫生服务水平，弥补医疗机构空缺，带动产业发展，改善区域投资环境。</w:t>
      </w:r>
    </w:p>
    <w:p w14:paraId="5CF3FD8A">
      <w:pPr>
        <w:widowControl/>
        <w:ind w:left="601"/>
        <w:jc w:val="left"/>
        <w:rPr>
          <w:rFonts w:ascii="仿宋" w:hAnsi="仿宋" w:eastAsia="仿宋" w:cs="仿宋_GB2312"/>
          <w:b/>
          <w:bCs/>
          <w:color w:val="000000"/>
          <w:kern w:val="0"/>
          <w:sz w:val="30"/>
          <w:szCs w:val="30"/>
        </w:rPr>
      </w:pPr>
      <w:r>
        <w:rPr>
          <w:rFonts w:hint="eastAsia" w:ascii="仿宋" w:hAnsi="仿宋" w:eastAsia="仿宋" w:cs="仿宋_GB2312"/>
          <w:b/>
          <w:bCs/>
          <w:color w:val="000000"/>
          <w:kern w:val="0"/>
          <w:sz w:val="30"/>
          <w:szCs w:val="30"/>
        </w:rPr>
        <w:t>2、</w:t>
      </w:r>
      <w:r>
        <w:rPr>
          <w:rFonts w:ascii="仿宋" w:hAnsi="仿宋" w:eastAsia="仿宋" w:cs="仿宋_GB2312"/>
          <w:b/>
          <w:bCs/>
          <w:color w:val="000000"/>
          <w:kern w:val="0"/>
          <w:sz w:val="30"/>
          <w:szCs w:val="30"/>
        </w:rPr>
        <w:t>规划目标</w:t>
      </w:r>
    </w:p>
    <w:p w14:paraId="068BC14A">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（1）、充分利用现有土地，最大程度满足患者就医需求； </w:t>
      </w:r>
    </w:p>
    <w:p w14:paraId="461E994E">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（2）、各功能布局合理，适应不同活动的需要，并适当考虑未来发展；</w:t>
      </w:r>
    </w:p>
    <w:p w14:paraId="0A044865">
      <w:pPr>
        <w:widowControl/>
        <w:jc w:val="left"/>
        <w:rPr>
          <w:rFonts w:ascii="仿宋" w:hAnsi="仿宋" w:eastAsia="仿宋" w:cs="仿宋"/>
          <w:sz w:val="30"/>
          <w:szCs w:val="30"/>
        </w:rPr>
      </w:pPr>
      <w:r>
        <w:rPr>
          <w:rFonts w:hint="eastAsia" w:ascii="仿宋" w:hAnsi="仿宋" w:eastAsia="仿宋" w:cs="仿宋"/>
          <w:color w:val="000000"/>
          <w:kern w:val="0"/>
          <w:sz w:val="30"/>
          <w:szCs w:val="30"/>
        </w:rPr>
        <w:t xml:space="preserve">  （3）、功能分区明确，科学地组织人流和物流，避免或减少交叉感染； </w:t>
      </w:r>
    </w:p>
    <w:p w14:paraId="717B85EB">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（4）、充分利用地形地貌，在不影响使用功能和满足安全卫生要求的前提下，医院建筑适当集中布置； </w:t>
      </w:r>
    </w:p>
    <w:p w14:paraId="6F316FF2">
      <w:pPr>
        <w:widowControl/>
        <w:ind w:firstLine="300" w:firstLineChars="1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（5）、建筑美观大方，达到相关建筑标准。</w:t>
      </w:r>
    </w:p>
    <w:p w14:paraId="07BF0556">
      <w:pPr>
        <w:widowControl/>
        <w:ind w:firstLine="602" w:firstLineChars="200"/>
        <w:jc w:val="left"/>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3、规划原则</w:t>
      </w:r>
    </w:p>
    <w:p w14:paraId="75FFA717">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（1）、项目建设依据国家有关法律、法规和规定，与经济社会发展相适应，坚持科学、合理、经济、适用的原则。 </w:t>
      </w:r>
    </w:p>
    <w:p w14:paraId="1FB9A4A9">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（2）、项目将根据现代化、科学化的要求指导思想进行规划设计，充分体现了以服务社会为中心的经营理念，能最大限度地满足社会医疗服务需求。 </w:t>
      </w:r>
    </w:p>
    <w:p w14:paraId="3C20C2AF">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（3）、建筑适应现代医疗技术及医疗管理的变革，同时配合国家医疗体制的改革，在地域中充分发挥其重要性。 </w:t>
      </w:r>
    </w:p>
    <w:p w14:paraId="35F6C057">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（4）、建筑功能分区与建设组成科学合理，各个部分医疗空间面积优化组织紧凑有效。 </w:t>
      </w:r>
    </w:p>
    <w:p w14:paraId="36DD55FF">
      <w:pPr>
        <w:widowControl/>
        <w:ind w:firstLine="300" w:firstLineChars="100"/>
        <w:jc w:val="left"/>
        <w:rPr>
          <w:rFonts w:ascii="仿宋" w:hAnsi="仿宋" w:eastAsia="仿宋" w:cs="仿宋"/>
          <w:sz w:val="30"/>
          <w:szCs w:val="30"/>
        </w:rPr>
      </w:pPr>
      <w:r>
        <w:rPr>
          <w:rFonts w:hint="eastAsia" w:ascii="仿宋" w:hAnsi="仿宋" w:eastAsia="仿宋" w:cs="仿宋"/>
          <w:color w:val="000000"/>
          <w:kern w:val="0"/>
          <w:sz w:val="30"/>
          <w:szCs w:val="30"/>
        </w:rPr>
        <w:t xml:space="preserve">（5）、充分考虑长远发展，以满足医疗技术的进步和医疗设备的更新。 </w:t>
      </w:r>
    </w:p>
    <w:p w14:paraId="51F18169">
      <w:pPr>
        <w:widowControl/>
        <w:ind w:firstLine="300" w:firstLineChars="1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（6）、符合地区规划发展的要求。</w:t>
      </w:r>
    </w:p>
    <w:p w14:paraId="2DD37084">
      <w:pPr>
        <w:widowControl/>
        <w:ind w:firstLine="602" w:firstLineChars="200"/>
        <w:jc w:val="left"/>
        <w:rPr>
          <w:rFonts w:ascii="仿宋" w:hAnsi="仿宋" w:eastAsia="仿宋" w:cs="仿宋"/>
          <w:b/>
          <w:sz w:val="30"/>
          <w:szCs w:val="30"/>
        </w:rPr>
      </w:pPr>
      <w:r>
        <w:rPr>
          <w:rFonts w:hint="eastAsia" w:ascii="仿宋" w:hAnsi="仿宋" w:eastAsia="仿宋" w:cs="仿宋"/>
          <w:b/>
          <w:color w:val="000000"/>
          <w:kern w:val="0"/>
          <w:sz w:val="30"/>
          <w:szCs w:val="30"/>
        </w:rPr>
        <w:t xml:space="preserve">4、建设内容及规模 </w:t>
      </w:r>
    </w:p>
    <w:p w14:paraId="3584E374">
      <w:pPr>
        <w:widowControl/>
        <w:ind w:firstLine="600" w:firstLineChars="200"/>
        <w:jc w:val="left"/>
        <w:rPr>
          <w:rFonts w:ascii="仿宋" w:hAnsi="仿宋" w:eastAsia="仿宋" w:cs="仿宋_GB2312"/>
          <w:color w:val="000000"/>
          <w:kern w:val="0"/>
          <w:sz w:val="30"/>
          <w:szCs w:val="30"/>
        </w:rPr>
      </w:pPr>
      <w:r>
        <w:rPr>
          <w:rFonts w:ascii="仿宋" w:hAnsi="仿宋" w:eastAsia="仿宋" w:cs="仿宋_GB2312"/>
          <w:color w:val="000000"/>
          <w:kern w:val="0"/>
          <w:sz w:val="30"/>
          <w:szCs w:val="30"/>
        </w:rPr>
        <w:t>项目总用地面积</w:t>
      </w:r>
      <w:r>
        <w:rPr>
          <w:rFonts w:ascii="仿宋" w:hAnsi="仿宋" w:eastAsia="仿宋" w:cs="TimesNewRomanPSMT"/>
          <w:color w:val="000000"/>
          <w:kern w:val="0"/>
          <w:sz w:val="30"/>
          <w:szCs w:val="30"/>
        </w:rPr>
        <w:t>20000</w:t>
      </w:r>
      <w:r>
        <w:rPr>
          <w:rFonts w:ascii="仿宋" w:hAnsi="仿宋" w:eastAsia="仿宋" w:cs="仿宋_GB2312"/>
          <w:color w:val="000000"/>
          <w:kern w:val="0"/>
          <w:sz w:val="30"/>
          <w:szCs w:val="30"/>
        </w:rPr>
        <w:t>平方米，规划总建筑面积</w:t>
      </w:r>
      <w:r>
        <w:rPr>
          <w:rFonts w:ascii="仿宋" w:hAnsi="仿宋" w:eastAsia="仿宋" w:cs="TimesNewRomanPSMT"/>
          <w:color w:val="000000"/>
          <w:kern w:val="0"/>
          <w:sz w:val="30"/>
          <w:szCs w:val="30"/>
        </w:rPr>
        <w:t>16000</w:t>
      </w:r>
      <w:r>
        <w:rPr>
          <w:rFonts w:ascii="仿宋" w:hAnsi="仿宋" w:eastAsia="仿宋" w:cs="仿宋_GB2312"/>
          <w:color w:val="000000"/>
          <w:kern w:val="0"/>
          <w:sz w:val="30"/>
          <w:szCs w:val="30"/>
        </w:rPr>
        <w:t>平方米，其中地上建筑面积</w:t>
      </w:r>
      <w:r>
        <w:rPr>
          <w:rFonts w:ascii="仿宋" w:hAnsi="仿宋" w:eastAsia="仿宋" w:cs="TimesNewRomanPSMT"/>
          <w:color w:val="000000"/>
          <w:kern w:val="0"/>
          <w:sz w:val="30"/>
          <w:szCs w:val="30"/>
        </w:rPr>
        <w:t>12000</w:t>
      </w:r>
      <w:r>
        <w:rPr>
          <w:rFonts w:ascii="仿宋" w:hAnsi="仿宋" w:eastAsia="仿宋" w:cs="仿宋_GB2312"/>
          <w:color w:val="000000"/>
          <w:kern w:val="0"/>
          <w:sz w:val="30"/>
          <w:szCs w:val="30"/>
        </w:rPr>
        <w:t>平方米，新建疾病控制中心</w:t>
      </w:r>
      <w:r>
        <w:rPr>
          <w:rFonts w:ascii="仿宋" w:hAnsi="仿宋" w:eastAsia="仿宋" w:cs="TimesNewRomanPSMT"/>
          <w:color w:val="000000"/>
          <w:kern w:val="0"/>
          <w:sz w:val="30"/>
          <w:szCs w:val="30"/>
        </w:rPr>
        <w:t>4000</w:t>
      </w:r>
      <w:r>
        <w:rPr>
          <w:rFonts w:ascii="仿宋" w:hAnsi="仿宋" w:eastAsia="仿宋" w:cs="仿宋_GB2312"/>
          <w:color w:val="000000"/>
          <w:kern w:val="0"/>
          <w:sz w:val="30"/>
          <w:szCs w:val="30"/>
        </w:rPr>
        <w:t>平方米、卫生监督所</w:t>
      </w:r>
      <w:r>
        <w:rPr>
          <w:rFonts w:ascii="仿宋" w:hAnsi="仿宋" w:eastAsia="仿宋" w:cs="TimesNewRomanPSMT"/>
          <w:color w:val="000000"/>
          <w:kern w:val="0"/>
          <w:sz w:val="30"/>
          <w:szCs w:val="30"/>
        </w:rPr>
        <w:t>2000</w:t>
      </w:r>
      <w:r>
        <w:rPr>
          <w:rFonts w:ascii="仿宋" w:hAnsi="仿宋" w:eastAsia="仿宋" w:cs="仿宋_GB2312"/>
          <w:color w:val="000000"/>
          <w:kern w:val="0"/>
          <w:sz w:val="30"/>
          <w:szCs w:val="30"/>
        </w:rPr>
        <w:t>平方米、急救站</w:t>
      </w:r>
      <w:r>
        <w:rPr>
          <w:rFonts w:ascii="仿宋" w:hAnsi="仿宋" w:eastAsia="仿宋" w:cs="TimesNewRomanPSMT"/>
          <w:color w:val="000000"/>
          <w:kern w:val="0"/>
          <w:sz w:val="30"/>
          <w:szCs w:val="30"/>
        </w:rPr>
        <w:t>500</w:t>
      </w:r>
      <w:r>
        <w:rPr>
          <w:rFonts w:ascii="仿宋" w:hAnsi="仿宋" w:eastAsia="仿宋" w:cs="仿宋_GB2312"/>
          <w:color w:val="000000"/>
          <w:kern w:val="0"/>
          <w:sz w:val="30"/>
          <w:szCs w:val="30"/>
        </w:rPr>
        <w:t>平方米、医疗卫生服务中心</w:t>
      </w:r>
      <w:r>
        <w:rPr>
          <w:rFonts w:ascii="仿宋" w:hAnsi="仿宋" w:eastAsia="仿宋" w:cs="TimesNewRomanPSMT"/>
          <w:color w:val="000000"/>
          <w:kern w:val="0"/>
          <w:sz w:val="30"/>
          <w:szCs w:val="30"/>
        </w:rPr>
        <w:t>500</w:t>
      </w:r>
      <w:r>
        <w:rPr>
          <w:rFonts w:ascii="仿宋" w:hAnsi="仿宋" w:eastAsia="仿宋" w:cs="仿宋_GB2312"/>
          <w:color w:val="000000"/>
          <w:kern w:val="0"/>
          <w:sz w:val="30"/>
          <w:szCs w:val="30"/>
        </w:rPr>
        <w:t>平方米、妇幼保健门诊部</w:t>
      </w:r>
      <w:r>
        <w:rPr>
          <w:rFonts w:ascii="仿宋" w:hAnsi="仿宋" w:eastAsia="仿宋" w:cs="TimesNewRomanPSMT"/>
          <w:color w:val="000000"/>
          <w:kern w:val="0"/>
          <w:sz w:val="30"/>
          <w:szCs w:val="30"/>
        </w:rPr>
        <w:t>2000</w:t>
      </w:r>
      <w:r>
        <w:rPr>
          <w:rFonts w:ascii="仿宋" w:hAnsi="仿宋" w:eastAsia="仿宋" w:cs="仿宋_GB2312"/>
          <w:color w:val="000000"/>
          <w:kern w:val="0"/>
          <w:sz w:val="30"/>
          <w:szCs w:val="30"/>
        </w:rPr>
        <w:t>平方米、妇幼保健住院部</w:t>
      </w:r>
      <w:r>
        <w:rPr>
          <w:rFonts w:ascii="仿宋" w:hAnsi="仿宋" w:eastAsia="仿宋" w:cs="TimesNewRomanPSMT"/>
          <w:color w:val="000000"/>
          <w:kern w:val="0"/>
          <w:sz w:val="30"/>
          <w:szCs w:val="30"/>
        </w:rPr>
        <w:t>2000</w:t>
      </w:r>
      <w:r>
        <w:rPr>
          <w:rFonts w:ascii="仿宋" w:hAnsi="仿宋" w:eastAsia="仿宋" w:cs="仿宋_GB2312"/>
          <w:color w:val="000000"/>
          <w:kern w:val="0"/>
          <w:sz w:val="30"/>
          <w:szCs w:val="30"/>
        </w:rPr>
        <w:t>平方米、计划生育用房</w:t>
      </w:r>
      <w:r>
        <w:rPr>
          <w:rFonts w:ascii="仿宋" w:hAnsi="仿宋" w:eastAsia="仿宋" w:cs="TimesNewRomanPSMT"/>
          <w:color w:val="000000"/>
          <w:kern w:val="0"/>
          <w:sz w:val="30"/>
          <w:szCs w:val="30"/>
        </w:rPr>
        <w:t>1000</w:t>
      </w:r>
      <w:r>
        <w:rPr>
          <w:rFonts w:ascii="仿宋" w:hAnsi="仿宋" w:eastAsia="仿宋" w:cs="仿宋_GB2312"/>
          <w:color w:val="000000"/>
          <w:kern w:val="0"/>
          <w:sz w:val="30"/>
          <w:szCs w:val="30"/>
        </w:rPr>
        <w:t>平方米；地下建筑面积</w:t>
      </w:r>
      <w:r>
        <w:rPr>
          <w:rFonts w:ascii="仿宋" w:hAnsi="仿宋" w:eastAsia="仿宋" w:cs="TimesNewRomanPSMT"/>
          <w:color w:val="000000"/>
          <w:kern w:val="0"/>
          <w:sz w:val="30"/>
          <w:szCs w:val="30"/>
        </w:rPr>
        <w:t>4000</w:t>
      </w:r>
      <w:r>
        <w:rPr>
          <w:rFonts w:ascii="仿宋" w:hAnsi="仿宋" w:eastAsia="仿宋" w:cs="仿宋_GB2312"/>
          <w:color w:val="000000"/>
          <w:kern w:val="0"/>
          <w:sz w:val="30"/>
          <w:szCs w:val="30"/>
        </w:rPr>
        <w:t>平方米，暂作人防考虑</w:t>
      </w:r>
      <w:r>
        <w:rPr>
          <w:rFonts w:hint="eastAsia" w:ascii="仿宋" w:hAnsi="仿宋" w:eastAsia="仿宋" w:cs="仿宋_GB2312"/>
          <w:color w:val="000000"/>
          <w:kern w:val="0"/>
          <w:sz w:val="30"/>
          <w:szCs w:val="30"/>
        </w:rPr>
        <w:t>；</w:t>
      </w:r>
      <w:r>
        <w:rPr>
          <w:rFonts w:ascii="仿宋" w:hAnsi="仿宋" w:eastAsia="仿宋" w:cs="仿宋_GB2312"/>
          <w:color w:val="000000"/>
          <w:kern w:val="0"/>
          <w:sz w:val="30"/>
          <w:szCs w:val="30"/>
        </w:rPr>
        <w:t>室外绿化、道路硬化、管线、智能化等配套设施。</w:t>
      </w:r>
    </w:p>
    <w:p w14:paraId="71A46DAA">
      <w:pPr>
        <w:widowControl/>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5、项目实施步骤</w:t>
      </w:r>
    </w:p>
    <w:p w14:paraId="3AD39F65">
      <w:pPr>
        <w:widowControl/>
        <w:ind w:firstLine="600" w:firstLineChars="200"/>
        <w:jc w:val="left"/>
        <w:rPr>
          <w:rFonts w:ascii="仿宋" w:hAnsi="仿宋" w:eastAsia="仿宋" w:cs="Arial"/>
          <w:sz w:val="30"/>
          <w:szCs w:val="30"/>
        </w:rPr>
      </w:pPr>
      <w:r>
        <w:rPr>
          <w:rFonts w:hint="eastAsia" w:ascii="仿宋" w:hAnsi="仿宋" w:eastAsia="仿宋" w:cs="仿宋"/>
          <w:sz w:val="30"/>
          <w:szCs w:val="30"/>
        </w:rPr>
        <w:t>项目可研编制</w:t>
      </w:r>
      <w:r>
        <w:rPr>
          <w:rFonts w:ascii="仿宋" w:hAnsi="仿宋" w:eastAsia="仿宋" w:cs="Arial"/>
          <w:sz w:val="30"/>
          <w:szCs w:val="30"/>
        </w:rPr>
        <w:t>→</w:t>
      </w:r>
      <w:r>
        <w:rPr>
          <w:rFonts w:hint="eastAsia" w:ascii="仿宋" w:hAnsi="仿宋" w:eastAsia="仿宋" w:cs="仿宋"/>
          <w:sz w:val="30"/>
          <w:szCs w:val="30"/>
        </w:rPr>
        <w:t>立项审批</w:t>
      </w:r>
      <w:r>
        <w:rPr>
          <w:rFonts w:ascii="仿宋" w:hAnsi="仿宋" w:eastAsia="仿宋" w:cs="Arial"/>
          <w:sz w:val="30"/>
          <w:szCs w:val="30"/>
        </w:rPr>
        <w:t>→</w:t>
      </w:r>
      <w:r>
        <w:rPr>
          <w:rFonts w:hint="eastAsia" w:ascii="仿宋" w:hAnsi="仿宋" w:eastAsia="仿宋" w:cs="Arial"/>
          <w:sz w:val="30"/>
          <w:szCs w:val="30"/>
        </w:rPr>
        <w:t>招投标</w:t>
      </w:r>
      <w:r>
        <w:rPr>
          <w:rFonts w:ascii="仿宋" w:hAnsi="仿宋" w:eastAsia="仿宋" w:cs="Arial"/>
          <w:sz w:val="30"/>
          <w:szCs w:val="30"/>
        </w:rPr>
        <w:t>→</w:t>
      </w:r>
      <w:r>
        <w:rPr>
          <w:rFonts w:hint="eastAsia" w:ascii="仿宋" w:hAnsi="仿宋" w:eastAsia="仿宋" w:cs="Arial"/>
          <w:sz w:val="30"/>
          <w:szCs w:val="30"/>
        </w:rPr>
        <w:t>施工图设计</w:t>
      </w:r>
      <w:r>
        <w:rPr>
          <w:rFonts w:ascii="仿宋" w:hAnsi="仿宋" w:eastAsia="仿宋" w:cs="Arial"/>
          <w:sz w:val="30"/>
          <w:szCs w:val="30"/>
        </w:rPr>
        <w:t>→</w:t>
      </w:r>
      <w:r>
        <w:rPr>
          <w:rFonts w:hint="eastAsia" w:ascii="仿宋" w:hAnsi="仿宋" w:eastAsia="仿宋" w:cs="Arial"/>
          <w:sz w:val="30"/>
          <w:szCs w:val="30"/>
        </w:rPr>
        <w:t>设备采购</w:t>
      </w:r>
      <w:r>
        <w:rPr>
          <w:rFonts w:ascii="仿宋" w:hAnsi="仿宋" w:eastAsia="仿宋" w:cs="Arial"/>
          <w:sz w:val="30"/>
          <w:szCs w:val="30"/>
        </w:rPr>
        <w:t>→</w:t>
      </w:r>
      <w:r>
        <w:rPr>
          <w:rFonts w:hint="eastAsia" w:ascii="仿宋" w:hAnsi="仿宋" w:eastAsia="仿宋" w:cs="Arial"/>
          <w:sz w:val="30"/>
          <w:szCs w:val="30"/>
        </w:rPr>
        <w:t>改造建设及设备安装</w:t>
      </w:r>
      <w:r>
        <w:rPr>
          <w:rFonts w:ascii="仿宋" w:hAnsi="仿宋" w:eastAsia="仿宋" w:cs="Arial"/>
          <w:sz w:val="30"/>
          <w:szCs w:val="30"/>
        </w:rPr>
        <w:t>→</w:t>
      </w:r>
      <w:r>
        <w:rPr>
          <w:rFonts w:hint="eastAsia" w:ascii="仿宋" w:hAnsi="仿宋" w:eastAsia="仿宋" w:cs="Arial"/>
          <w:sz w:val="30"/>
          <w:szCs w:val="30"/>
        </w:rPr>
        <w:t>室外工程</w:t>
      </w:r>
      <w:r>
        <w:rPr>
          <w:rFonts w:ascii="仿宋" w:hAnsi="仿宋" w:eastAsia="仿宋" w:cs="Arial"/>
          <w:sz w:val="30"/>
          <w:szCs w:val="30"/>
        </w:rPr>
        <w:t>→</w:t>
      </w:r>
      <w:r>
        <w:rPr>
          <w:rFonts w:hint="eastAsia" w:ascii="仿宋" w:hAnsi="仿宋" w:eastAsia="仿宋" w:cs="Arial"/>
          <w:sz w:val="30"/>
          <w:szCs w:val="30"/>
        </w:rPr>
        <w:t>竣工验收及交付使用。</w:t>
      </w:r>
    </w:p>
    <w:p w14:paraId="52776E16">
      <w:pPr>
        <w:widowControl/>
        <w:ind w:firstLine="600" w:firstLineChars="200"/>
        <w:jc w:val="left"/>
        <w:rPr>
          <w:rFonts w:ascii="仿宋" w:hAnsi="仿宋" w:eastAsia="仿宋" w:cs="Arial"/>
          <w:sz w:val="30"/>
          <w:szCs w:val="30"/>
        </w:rPr>
      </w:pPr>
    </w:p>
    <w:p w14:paraId="1B7999C3">
      <w:pPr>
        <w:widowControl/>
        <w:numPr>
          <w:ilvl w:val="0"/>
          <w:numId w:val="1"/>
        </w:numPr>
        <w:ind w:firstLine="602" w:firstLineChars="200"/>
        <w:jc w:val="left"/>
        <w:rPr>
          <w:rFonts w:ascii="仿宋" w:hAnsi="仿宋" w:eastAsia="仿宋" w:cs="Arial"/>
          <w:b/>
          <w:bCs/>
          <w:sz w:val="30"/>
          <w:szCs w:val="30"/>
        </w:rPr>
      </w:pPr>
      <w:r>
        <w:rPr>
          <w:rFonts w:hint="eastAsia" w:ascii="仿宋" w:hAnsi="仿宋" w:eastAsia="仿宋" w:cs="Arial"/>
          <w:b/>
          <w:bCs/>
          <w:sz w:val="30"/>
          <w:szCs w:val="30"/>
        </w:rPr>
        <w:t>实施周期</w:t>
      </w:r>
    </w:p>
    <w:p w14:paraId="3BFDC30D">
      <w:pPr>
        <w:widowControl/>
        <w:ind w:firstLine="6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项目建设期总计约22个月。该项目拟计划于2020年3月开始前期准备工作，预计2020年9月开工建设，建设工期约18个月，计划2021年12月竣工验收。</w:t>
      </w:r>
    </w:p>
    <w:p w14:paraId="673D07BE">
      <w:pPr>
        <w:widowControl/>
        <w:numPr>
          <w:ilvl w:val="0"/>
          <w:numId w:val="1"/>
        </w:numPr>
        <w:ind w:firstLine="602" w:firstLineChars="200"/>
        <w:jc w:val="left"/>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年度预算安排</w:t>
      </w:r>
    </w:p>
    <w:p w14:paraId="5E03E251">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项目总投资约11283万元。其中，建安工程费5454万元，设备购置及安装费4128万元，工程建设其他费1164万元，预备费537万元。</w:t>
      </w:r>
    </w:p>
    <w:p w14:paraId="54A06131">
      <w:pPr>
        <w:widowControl/>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根据项目实施进度及投资估算安排，项目共跨越2个年度，总投资11283万元，其中，2020年投资4259万元，2021年投资7024 万元。 </w:t>
      </w:r>
    </w:p>
    <w:p w14:paraId="0D61D08E">
      <w:pPr>
        <w:widowControl/>
        <w:jc w:val="left"/>
        <w:rPr>
          <w:rFonts w:ascii="仿宋" w:hAnsi="仿宋" w:eastAsia="仿宋" w:cs="仿宋"/>
          <w:color w:val="000000"/>
          <w:kern w:val="0"/>
          <w:sz w:val="30"/>
          <w:szCs w:val="30"/>
        </w:rPr>
      </w:pPr>
    </w:p>
    <w:p w14:paraId="643EA7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4D160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FD158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9F62B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5E5D0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9F98E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003A1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FD046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68D70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BF86D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DFAB8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5060C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CF24E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88A8B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67ABF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BBADF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483E9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9991A5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C0B05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991DCC9">
      <w:pPr>
        <w:spacing w:line="600" w:lineRule="exact"/>
        <w:rPr>
          <w:rFonts w:ascii="仿宋" w:hAnsi="仿宋" w:eastAsia="仿宋"/>
          <w:sz w:val="30"/>
          <w:szCs w:val="30"/>
        </w:rPr>
      </w:pP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Verdana">
    <w:panose1 w:val="020B0604030504040204"/>
    <w:charset w:val="00"/>
    <w:family w:val="roman"/>
    <w:pitch w:val="default"/>
    <w:sig w:usb0="A00006FF" w:usb1="4000205B" w:usb2="00000010" w:usb3="00000000" w:csb0="2000019F"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76CC7"/>
    <w:multiLevelType w:val="singleLevel"/>
    <w:tmpl w:val="9C876CC7"/>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35718"/>
    <w:rsid w:val="0004171C"/>
    <w:rsid w:val="000962DC"/>
    <w:rsid w:val="000A0E7F"/>
    <w:rsid w:val="000B19FE"/>
    <w:rsid w:val="000F0E69"/>
    <w:rsid w:val="0010550E"/>
    <w:rsid w:val="00140D43"/>
    <w:rsid w:val="0017491B"/>
    <w:rsid w:val="00180CC6"/>
    <w:rsid w:val="00187190"/>
    <w:rsid w:val="001961A4"/>
    <w:rsid w:val="00196C55"/>
    <w:rsid w:val="001B1BDA"/>
    <w:rsid w:val="001C414C"/>
    <w:rsid w:val="001D7A46"/>
    <w:rsid w:val="001E3E93"/>
    <w:rsid w:val="001E4FA0"/>
    <w:rsid w:val="001F3FA9"/>
    <w:rsid w:val="001F787D"/>
    <w:rsid w:val="002364E6"/>
    <w:rsid w:val="00264775"/>
    <w:rsid w:val="00264838"/>
    <w:rsid w:val="002751C6"/>
    <w:rsid w:val="00276B7E"/>
    <w:rsid w:val="0027776A"/>
    <w:rsid w:val="002A3B9D"/>
    <w:rsid w:val="002D3804"/>
    <w:rsid w:val="002E340D"/>
    <w:rsid w:val="002F06B5"/>
    <w:rsid w:val="002F1721"/>
    <w:rsid w:val="002F5830"/>
    <w:rsid w:val="0032799C"/>
    <w:rsid w:val="003614CE"/>
    <w:rsid w:val="0036297E"/>
    <w:rsid w:val="003765C8"/>
    <w:rsid w:val="003849FD"/>
    <w:rsid w:val="00394791"/>
    <w:rsid w:val="003A5054"/>
    <w:rsid w:val="003C105F"/>
    <w:rsid w:val="003E5660"/>
    <w:rsid w:val="003F2062"/>
    <w:rsid w:val="00410D86"/>
    <w:rsid w:val="00411DB1"/>
    <w:rsid w:val="004125E7"/>
    <w:rsid w:val="004221E9"/>
    <w:rsid w:val="004366F5"/>
    <w:rsid w:val="004F0DE4"/>
    <w:rsid w:val="00524CF2"/>
    <w:rsid w:val="00560950"/>
    <w:rsid w:val="00566ACF"/>
    <w:rsid w:val="005A04CC"/>
    <w:rsid w:val="005A25A0"/>
    <w:rsid w:val="005D43D5"/>
    <w:rsid w:val="00613B30"/>
    <w:rsid w:val="006351A9"/>
    <w:rsid w:val="00635D18"/>
    <w:rsid w:val="00682C0F"/>
    <w:rsid w:val="00690D8F"/>
    <w:rsid w:val="006B68CF"/>
    <w:rsid w:val="006F6EDB"/>
    <w:rsid w:val="007009D8"/>
    <w:rsid w:val="00713F78"/>
    <w:rsid w:val="0072325E"/>
    <w:rsid w:val="00755C7B"/>
    <w:rsid w:val="007805EB"/>
    <w:rsid w:val="007E6ACF"/>
    <w:rsid w:val="007E72AB"/>
    <w:rsid w:val="00815347"/>
    <w:rsid w:val="0082020C"/>
    <w:rsid w:val="00822864"/>
    <w:rsid w:val="00832D0F"/>
    <w:rsid w:val="00840BA4"/>
    <w:rsid w:val="008620BC"/>
    <w:rsid w:val="008A708A"/>
    <w:rsid w:val="008B01B8"/>
    <w:rsid w:val="008B2A74"/>
    <w:rsid w:val="008C7B8D"/>
    <w:rsid w:val="00941B10"/>
    <w:rsid w:val="00961681"/>
    <w:rsid w:val="009840B5"/>
    <w:rsid w:val="009A3B7A"/>
    <w:rsid w:val="009F057E"/>
    <w:rsid w:val="009F1015"/>
    <w:rsid w:val="00A12672"/>
    <w:rsid w:val="00A279E0"/>
    <w:rsid w:val="00A302AB"/>
    <w:rsid w:val="00A53DAD"/>
    <w:rsid w:val="00A5549A"/>
    <w:rsid w:val="00A93DB9"/>
    <w:rsid w:val="00AD57F2"/>
    <w:rsid w:val="00B20A02"/>
    <w:rsid w:val="00B50384"/>
    <w:rsid w:val="00B526CD"/>
    <w:rsid w:val="00B94878"/>
    <w:rsid w:val="00BA1402"/>
    <w:rsid w:val="00BA1A74"/>
    <w:rsid w:val="00BA1B06"/>
    <w:rsid w:val="00BE30B8"/>
    <w:rsid w:val="00BE4B3A"/>
    <w:rsid w:val="00C36BAA"/>
    <w:rsid w:val="00CB2663"/>
    <w:rsid w:val="00CC5F55"/>
    <w:rsid w:val="00CE117C"/>
    <w:rsid w:val="00D176CA"/>
    <w:rsid w:val="00D43C74"/>
    <w:rsid w:val="00D52BEC"/>
    <w:rsid w:val="00D8553F"/>
    <w:rsid w:val="00DB5122"/>
    <w:rsid w:val="00DC1136"/>
    <w:rsid w:val="00DD605A"/>
    <w:rsid w:val="00DE721C"/>
    <w:rsid w:val="00E571CD"/>
    <w:rsid w:val="00EB6E55"/>
    <w:rsid w:val="00EE134B"/>
    <w:rsid w:val="00EE3FDD"/>
    <w:rsid w:val="00F01060"/>
    <w:rsid w:val="00F2580F"/>
    <w:rsid w:val="00F51C4B"/>
    <w:rsid w:val="00FB1292"/>
    <w:rsid w:val="00FD7251"/>
    <w:rsid w:val="00FE4788"/>
    <w:rsid w:val="2E0545EF"/>
    <w:rsid w:val="4893473D"/>
    <w:rsid w:val="6D1D327D"/>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5563</Words>
  <Characters>5819</Characters>
  <Lines>42</Lines>
  <Paragraphs>11</Paragraphs>
  <TotalTime>0</TotalTime>
  <ScaleCrop>false</ScaleCrop>
  <LinksUpToDate>false</LinksUpToDate>
  <CharactersWithSpaces>5897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2025-12-24T07:31:35Z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eyJoZGlkIjoiNzMzNGFhYTQwZDVjNjVmMDFlMTAxYjIwOTljNDhhZWQiLCJ1c2VySWQiOiIyMDEzOTMzNTkifQ==</vt:lpwstr>
  </property>
  <property fmtid="{D5CDD505-2E9C-101B-9397-08002B2CF9AE}" pid="4" name="ICV">
    <vt:lpwstr>84E53549277B4C79BB9F3B07CA578F78_12</vt:lpwstr>
  </property>
</Properties>
</file>