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600FD0">
      <w:pPr>
        <w:spacing w:line="600" w:lineRule="exact"/>
        <w:rPr>
          <w:rFonts w:ascii="仿宋_GB2312" w:eastAsia="仿宋_GB2312"/>
          <w:sz w:val="32"/>
          <w:szCs w:val="32"/>
        </w:rPr>
      </w:pPr>
      <w:bookmarkStart w:id="1" w:name="_GoBack"/>
      <w:bookmarkEnd w:id="1"/>
    </w:p>
    <w:p w14:paraId="3C88F4A2">
      <w:pPr>
        <w:widowControl/>
        <w:spacing w:line="330" w:lineRule="atLeast"/>
        <w:jc w:val="center"/>
        <w:rPr>
          <w:rFonts w:hint="eastAsia" w:cs="仿宋" w:asciiTheme="minorEastAsia" w:hAnsiTheme="minorEastAsia" w:eastAsiaTheme="minorEastAsia"/>
          <w:b/>
          <w:bCs/>
          <w:sz w:val="36"/>
          <w:szCs w:val="36"/>
          <w:lang w:eastAsia="zh-CN"/>
        </w:rPr>
      </w:pPr>
      <w:r>
        <w:rPr>
          <w:rFonts w:hint="eastAsia" w:cs="仿宋" w:asciiTheme="minorEastAsia" w:hAnsiTheme="minorEastAsia" w:eastAsiaTheme="minorEastAsia"/>
          <w:b/>
          <w:bCs/>
          <w:sz w:val="36"/>
          <w:szCs w:val="36"/>
        </w:rPr>
        <w:t>大连高新技术产业园区</w:t>
      </w:r>
      <w:r>
        <w:rPr>
          <w:rFonts w:hint="eastAsia" w:cs="仿宋" w:asciiTheme="minorEastAsia" w:hAnsiTheme="minorEastAsia" w:eastAsiaTheme="minorEastAsia"/>
          <w:b/>
          <w:bCs/>
          <w:sz w:val="36"/>
          <w:szCs w:val="36"/>
          <w:lang w:eastAsia="zh-CN"/>
        </w:rPr>
        <w:t>营商环境建设局</w:t>
      </w:r>
    </w:p>
    <w:p w14:paraId="6B547D67">
      <w:pPr>
        <w:widowControl/>
        <w:spacing w:line="330" w:lineRule="atLeast"/>
        <w:jc w:val="center"/>
        <w:rPr>
          <w:rFonts w:asciiTheme="minorEastAsia" w:hAnsiTheme="minorEastAsia" w:eastAsiaTheme="minorEastAsia"/>
          <w:b/>
          <w:bCs/>
          <w:sz w:val="36"/>
          <w:szCs w:val="36"/>
        </w:rPr>
      </w:pPr>
      <w:r>
        <w:rPr>
          <w:rFonts w:hint="eastAsia" w:cs="仿宋" w:asciiTheme="minorEastAsia" w:hAnsiTheme="minorEastAsia" w:eastAsiaTheme="minorEastAsia"/>
          <w:b/>
          <w:bCs/>
          <w:sz w:val="36"/>
          <w:szCs w:val="36"/>
        </w:rPr>
        <w:t>20</w:t>
      </w:r>
      <w:r>
        <w:rPr>
          <w:rFonts w:hint="eastAsia" w:cs="仿宋" w:asciiTheme="minorEastAsia" w:hAnsiTheme="minorEastAsia" w:eastAsiaTheme="minorEastAsia"/>
          <w:b/>
          <w:bCs/>
          <w:sz w:val="36"/>
          <w:szCs w:val="36"/>
          <w:lang w:val="en-US" w:eastAsia="zh-CN"/>
        </w:rPr>
        <w:t>24</w:t>
      </w:r>
      <w:r>
        <w:rPr>
          <w:rFonts w:hint="eastAsia" w:cs="仿宋" w:asciiTheme="minorEastAsia" w:hAnsiTheme="minorEastAsia" w:eastAsiaTheme="minorEastAsia"/>
          <w:b/>
          <w:bCs/>
          <w:color w:val="000000"/>
          <w:kern w:val="0"/>
          <w:sz w:val="36"/>
          <w:szCs w:val="36"/>
        </w:rPr>
        <w:t>年部门预算</w:t>
      </w:r>
    </w:p>
    <w:p w14:paraId="14883D65">
      <w:pPr>
        <w:widowControl/>
        <w:spacing w:line="330" w:lineRule="atLeast"/>
        <w:ind w:firstLine="602" w:firstLineChars="200"/>
        <w:jc w:val="left"/>
        <w:rPr>
          <w:rFonts w:ascii="仿宋" w:hAnsi="仿宋" w:eastAsia="仿宋"/>
          <w:b/>
          <w:bCs/>
          <w:sz w:val="30"/>
          <w:szCs w:val="30"/>
        </w:rPr>
      </w:pPr>
      <w:r>
        <w:rPr>
          <w:rFonts w:ascii="仿宋" w:hAnsi="仿宋" w:eastAsia="仿宋" w:cs="仿宋"/>
          <w:b/>
          <w:bCs/>
          <w:sz w:val="30"/>
          <w:szCs w:val="30"/>
        </w:rPr>
        <w:t xml:space="preserve">                                                                                                                                                                                                                                  </w:t>
      </w:r>
    </w:p>
    <w:p w14:paraId="07B0EAC5">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第一部分</w:t>
      </w:r>
      <w:r>
        <w:rPr>
          <w:rFonts w:ascii="仿宋" w:hAnsi="仿宋" w:eastAsia="仿宋" w:cs="仿宋"/>
          <w:color w:val="000000"/>
          <w:kern w:val="0"/>
          <w:sz w:val="30"/>
          <w:szCs w:val="30"/>
        </w:rPr>
        <w:t xml:space="preserve"> </w:t>
      </w:r>
      <w:r>
        <w:rPr>
          <w:rFonts w:hint="eastAsia" w:ascii="仿宋" w:hAnsi="仿宋" w:eastAsia="仿宋" w:cs="仿宋"/>
          <w:color w:val="000000"/>
          <w:kern w:val="0"/>
          <w:sz w:val="30"/>
          <w:szCs w:val="30"/>
        </w:rPr>
        <w:t>部门概况</w:t>
      </w:r>
    </w:p>
    <w:p w14:paraId="2142D37A">
      <w:pPr>
        <w:widowControl/>
        <w:numPr>
          <w:ilvl w:val="0"/>
          <w:numId w:val="1"/>
        </w:numPr>
        <w:spacing w:line="330" w:lineRule="atLeast"/>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主要职责</w:t>
      </w:r>
    </w:p>
    <w:p w14:paraId="27C156D6">
      <w:pPr>
        <w:snapToGrid w:val="0"/>
        <w:spacing w:line="52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(一)贯彻落实党中央、国务院、省委、省政府、市委、市政府关于优化营商环境的法律法规、方针政策和部署要求；承接大连市营商环境建设局(大数据管理局、大数据中心)营商环境建设、大数据管理相关工作。</w:t>
      </w:r>
    </w:p>
    <w:p w14:paraId="60B98D83">
      <w:pPr>
        <w:snapToGrid w:val="0"/>
        <w:spacing w:line="52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(二)拟定全区营商环境建设工作规划和年度计划并组织实施；指导、协调各部门、各单位营商环境建设工作；配合相关部门对全区营商环境建设工作进行绩效考评。</w:t>
      </w:r>
    </w:p>
    <w:p w14:paraId="76A139EC">
      <w:pPr>
        <w:snapToGrid w:val="0"/>
        <w:spacing w:line="52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(三)负责全区企业、群众诉求的统筹、督办等工作。负责 统筹、监督、检查诉求办理工作机制的运行，提出诉求办理工作的绩效考核意见。</w:t>
      </w:r>
    </w:p>
    <w:p w14:paraId="25081F07">
      <w:pPr>
        <w:snapToGrid w:val="0"/>
        <w:spacing w:line="52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(四)负责统筹“先予处置”工作；履行“先予处置”工作领导小组办公室职责。</w:t>
      </w:r>
    </w:p>
    <w:p w14:paraId="20945C34">
      <w:pPr>
        <w:snapToGrid w:val="0"/>
        <w:spacing w:line="52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五)负责贯彻落实上级政府关于“放管服”改革工作的方针、政策和法律、法规；贯彻落实上级政府关于行政审批制度改革的部署；负责推进全区“放管服”改革及行政审批制度改革工作；负责全区行政效能监测工作；履行区营商环境建设工作领导小组办公室、区推进政府职能转变协调小组办公室、区行政审批 制度改革工作领导小组办公室职责。</w:t>
      </w:r>
    </w:p>
    <w:p w14:paraId="6529D558">
      <w:pPr>
        <w:snapToGrid w:val="0"/>
        <w:spacing w:line="52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(六)负责进驻区政务服务中心审批服务事项的组织协调、监督管理和指导服务工作；负责区政务服务中心基础设施运行管理和安全保卫工作。</w:t>
      </w:r>
    </w:p>
    <w:p w14:paraId="24CA3D9B">
      <w:pPr>
        <w:snapToGrid w:val="0"/>
        <w:spacing w:line="52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(七)负责对上级党委、政府和区党工委、管委会重大决策 及重要工作安排落实情况开展定期督促检查工作；负责对党工委、管委会会议议定事项进行督办、落实、结果反馈工作；负责对党工委、管委会重点工作展开督查调研；负责对上级领导和园区党工委、管委会主要领导的批示、指示和交办事项的落实情况进行督促检查；受理上级督查部门下达的专项督促检查任务，协助上级督查部门搞好各类督查；围绕领导关注、群众关心的热点和难点问题主动抓好督促检查。</w:t>
      </w:r>
    </w:p>
    <w:p w14:paraId="50758C49">
      <w:pPr>
        <w:snapToGrid w:val="0"/>
        <w:spacing w:line="52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(八)负责上级对高新区政府绩效考核工作的任务分解和汇 总上报；负责对区直机关部门、直属事业单位、所辖街道和驻区 机构开展政府绩效考核工作。</w:t>
      </w:r>
    </w:p>
    <w:p w14:paraId="02E556E6">
      <w:pPr>
        <w:snapToGrid w:val="0"/>
        <w:spacing w:line="52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(九)负责全区大数据管理相关工作。</w:t>
      </w:r>
    </w:p>
    <w:p w14:paraId="6ABB3B04">
      <w:pPr>
        <w:snapToGrid w:val="0"/>
        <w:spacing w:line="52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 xml:space="preserve">(十)负责全区网格化综合治理平台管理相关工作。 </w:t>
      </w:r>
    </w:p>
    <w:p w14:paraId="0DED91C9">
      <w:pPr>
        <w:snapToGrid w:val="0"/>
        <w:spacing w:line="52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(十一)完成区党工委、管委会交办的其他工作。</w:t>
      </w:r>
    </w:p>
    <w:p w14:paraId="54129EE5">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二、部门预算单位构成</w:t>
      </w:r>
    </w:p>
    <w:p w14:paraId="70D669AD">
      <w:pPr>
        <w:widowControl/>
        <w:spacing w:line="330" w:lineRule="atLeast"/>
        <w:ind w:firstLine="585"/>
        <w:jc w:val="left"/>
        <w:rPr>
          <w:rFonts w:hint="eastAsia" w:ascii="仿宋" w:hAnsi="仿宋" w:eastAsia="仿宋" w:cs="仿宋"/>
          <w:color w:val="000000"/>
          <w:kern w:val="0"/>
          <w:sz w:val="30"/>
          <w:szCs w:val="30"/>
          <w:lang w:eastAsia="zh-CN"/>
        </w:rPr>
      </w:pPr>
      <w:r>
        <w:rPr>
          <w:rFonts w:hint="eastAsia" w:ascii="仿宋" w:hAnsi="仿宋" w:eastAsia="仿宋" w:cs="仿宋"/>
          <w:color w:val="000000"/>
          <w:kern w:val="0"/>
          <w:sz w:val="30"/>
          <w:szCs w:val="30"/>
        </w:rPr>
        <w:t>本部门中，行政单位1个，事业单位1个，具体包括：大连高新技术产业园区</w:t>
      </w:r>
      <w:r>
        <w:rPr>
          <w:rFonts w:hint="eastAsia" w:ascii="仿宋" w:hAnsi="仿宋" w:eastAsia="仿宋" w:cs="仿宋"/>
          <w:color w:val="000000"/>
          <w:kern w:val="0"/>
          <w:sz w:val="30"/>
          <w:szCs w:val="30"/>
          <w:lang w:eastAsia="zh-CN"/>
        </w:rPr>
        <w:t>营商环境建设局</w:t>
      </w:r>
      <w:r>
        <w:rPr>
          <w:rFonts w:hint="eastAsia" w:ascii="仿宋" w:hAnsi="仿宋" w:eastAsia="仿宋" w:cs="仿宋"/>
          <w:color w:val="000000"/>
          <w:kern w:val="0"/>
          <w:sz w:val="30"/>
          <w:szCs w:val="30"/>
        </w:rPr>
        <w:t>（本级），大连高新技术产业园区</w:t>
      </w:r>
      <w:r>
        <w:rPr>
          <w:rFonts w:hint="eastAsia" w:ascii="仿宋" w:hAnsi="仿宋" w:eastAsia="仿宋" w:cs="仿宋"/>
          <w:color w:val="000000"/>
          <w:kern w:val="0"/>
          <w:sz w:val="30"/>
          <w:szCs w:val="30"/>
          <w:lang w:eastAsia="zh-CN"/>
        </w:rPr>
        <w:t>大数据中心。</w:t>
      </w:r>
    </w:p>
    <w:p w14:paraId="1B4CA149">
      <w:pPr>
        <w:widowControl/>
        <w:spacing w:line="330" w:lineRule="atLeast"/>
        <w:jc w:val="left"/>
        <w:rPr>
          <w:rFonts w:ascii="仿宋" w:hAnsi="仿宋" w:eastAsia="仿宋" w:cs="仿宋"/>
          <w:color w:val="000000"/>
          <w:kern w:val="0"/>
          <w:sz w:val="30"/>
          <w:szCs w:val="30"/>
        </w:rPr>
      </w:pPr>
    </w:p>
    <w:p w14:paraId="62EF38AC">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第二部分</w:t>
      </w:r>
      <w:r>
        <w:rPr>
          <w:rFonts w:ascii="仿宋" w:hAnsi="仿宋" w:eastAsia="仿宋" w:cs="仿宋"/>
          <w:color w:val="000000"/>
          <w:kern w:val="0"/>
          <w:sz w:val="30"/>
          <w:szCs w:val="30"/>
        </w:rPr>
        <w:t xml:space="preserve"> </w:t>
      </w:r>
      <w:r>
        <w:rPr>
          <w:rFonts w:hint="eastAsia" w:ascii="仿宋" w:hAnsi="仿宋" w:eastAsia="仿宋" w:cs="仿宋"/>
          <w:color w:val="000000"/>
          <w:kern w:val="0"/>
          <w:sz w:val="30"/>
          <w:szCs w:val="30"/>
        </w:rPr>
        <w:t>部门预算情况说明</w:t>
      </w:r>
    </w:p>
    <w:p w14:paraId="6628B710">
      <w:pPr>
        <w:widowControl/>
        <w:spacing w:line="330" w:lineRule="atLeast"/>
        <w:ind w:firstLine="600" w:firstLineChars="200"/>
        <w:jc w:val="left"/>
        <w:rPr>
          <w:rFonts w:ascii="仿宋" w:hAnsi="仿宋" w:eastAsia="仿宋"/>
          <w:color w:val="000000"/>
          <w:sz w:val="30"/>
          <w:szCs w:val="30"/>
        </w:rPr>
      </w:pPr>
      <w:r>
        <w:rPr>
          <w:rFonts w:hint="eastAsia" w:ascii="仿宋" w:hAnsi="仿宋" w:eastAsia="仿宋" w:cs="仿宋"/>
          <w:color w:val="000000"/>
          <w:kern w:val="0"/>
          <w:sz w:val="30"/>
          <w:szCs w:val="30"/>
        </w:rPr>
        <w:t>一、总体说明</w:t>
      </w:r>
    </w:p>
    <w:p w14:paraId="1DF95C89">
      <w:pPr>
        <w:widowControl/>
        <w:spacing w:line="330" w:lineRule="atLeast"/>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按照综合预算的原则，本部门所有收入和支出均纳入部门预算管理，无下级预算单位。收入包括：财政拨款收入2093.26万元；支出包括：</w:t>
      </w:r>
      <w:r>
        <w:rPr>
          <w:rFonts w:hint="eastAsia" w:ascii="仿宋" w:hAnsi="仿宋" w:eastAsia="仿宋" w:cs="仿宋"/>
          <w:color w:val="000000"/>
          <w:kern w:val="0"/>
          <w:sz w:val="30"/>
          <w:szCs w:val="30"/>
          <w:lang w:eastAsia="zh-CN"/>
        </w:rPr>
        <w:t>基本</w:t>
      </w:r>
      <w:r>
        <w:rPr>
          <w:rFonts w:hint="eastAsia" w:ascii="仿宋" w:hAnsi="仿宋" w:eastAsia="仿宋" w:cs="仿宋"/>
          <w:color w:val="000000"/>
          <w:kern w:val="0"/>
          <w:sz w:val="30"/>
          <w:szCs w:val="30"/>
        </w:rPr>
        <w:t>支出496.19万元</w:t>
      </w:r>
      <w:r>
        <w:rPr>
          <w:rFonts w:hint="eastAsia" w:ascii="仿宋" w:hAnsi="仿宋" w:eastAsia="仿宋" w:cs="仿宋"/>
          <w:color w:val="000000"/>
          <w:kern w:val="0"/>
          <w:sz w:val="30"/>
          <w:szCs w:val="30"/>
          <w:lang w:eastAsia="zh-CN"/>
        </w:rPr>
        <w:t>：人员经费481.84万元，公用经费1</w:t>
      </w:r>
      <w:r>
        <w:rPr>
          <w:rFonts w:hint="eastAsia" w:ascii="仿宋" w:hAnsi="仿宋" w:eastAsia="仿宋" w:cs="仿宋"/>
          <w:color w:val="000000"/>
          <w:kern w:val="0"/>
          <w:sz w:val="30"/>
          <w:szCs w:val="30"/>
          <w:lang w:val="en-US" w:eastAsia="zh-CN"/>
        </w:rPr>
        <w:t>4</w:t>
      </w:r>
      <w:r>
        <w:rPr>
          <w:rFonts w:hint="eastAsia" w:ascii="仿宋" w:hAnsi="仿宋" w:eastAsia="仿宋" w:cs="仿宋"/>
          <w:color w:val="000000"/>
          <w:kern w:val="0"/>
          <w:sz w:val="30"/>
          <w:szCs w:val="30"/>
          <w:lang w:eastAsia="zh-CN"/>
        </w:rPr>
        <w:t>.</w:t>
      </w:r>
      <w:r>
        <w:rPr>
          <w:rFonts w:hint="eastAsia" w:ascii="仿宋" w:hAnsi="仿宋" w:eastAsia="仿宋" w:cs="仿宋"/>
          <w:color w:val="000000"/>
          <w:kern w:val="0"/>
          <w:sz w:val="30"/>
          <w:szCs w:val="30"/>
          <w:lang w:val="en-US" w:eastAsia="zh-CN"/>
        </w:rPr>
        <w:t>35</w:t>
      </w:r>
      <w:r>
        <w:rPr>
          <w:rFonts w:hint="eastAsia" w:ascii="仿宋" w:hAnsi="仿宋" w:eastAsia="仿宋" w:cs="仿宋"/>
          <w:color w:val="000000"/>
          <w:kern w:val="0"/>
          <w:sz w:val="30"/>
          <w:szCs w:val="30"/>
          <w:lang w:eastAsia="zh-CN"/>
        </w:rPr>
        <w:t>万元；项目</w:t>
      </w:r>
      <w:r>
        <w:rPr>
          <w:rFonts w:hint="eastAsia" w:ascii="仿宋" w:hAnsi="仿宋" w:eastAsia="仿宋" w:cs="仿宋"/>
          <w:color w:val="000000"/>
          <w:kern w:val="0"/>
          <w:sz w:val="30"/>
          <w:szCs w:val="30"/>
        </w:rPr>
        <w:t>支出1597.07万元。全部为一般公共预算收支，无政府性基金预算收支，无国有资本经营预算收支。</w:t>
      </w:r>
    </w:p>
    <w:p w14:paraId="56CB69D6">
      <w:pPr>
        <w:widowControl/>
        <w:spacing w:line="330" w:lineRule="atLeast"/>
        <w:ind w:firstLine="600" w:firstLineChars="200"/>
        <w:jc w:val="left"/>
        <w:rPr>
          <w:rFonts w:ascii="仿宋" w:hAnsi="仿宋" w:eastAsia="仿宋"/>
          <w:color w:val="000000"/>
          <w:sz w:val="30"/>
          <w:szCs w:val="30"/>
        </w:rPr>
      </w:pPr>
      <w:r>
        <w:rPr>
          <w:rFonts w:hint="eastAsia" w:ascii="仿宋" w:hAnsi="仿宋" w:eastAsia="仿宋" w:cs="仿宋"/>
          <w:color w:val="000000"/>
          <w:kern w:val="0"/>
          <w:sz w:val="30"/>
          <w:szCs w:val="30"/>
        </w:rPr>
        <w:t>二、“三公”经费预算情况说明</w:t>
      </w:r>
    </w:p>
    <w:p w14:paraId="66C1FDA0">
      <w:pPr>
        <w:spacing w:line="600" w:lineRule="exact"/>
        <w:ind w:firstLine="600" w:firstLineChars="200"/>
        <w:rPr>
          <w:rFonts w:ascii="仿宋" w:hAnsi="仿宋" w:eastAsia="仿宋"/>
          <w:sz w:val="30"/>
          <w:szCs w:val="30"/>
        </w:rPr>
      </w:pPr>
      <w:r>
        <w:rPr>
          <w:rFonts w:hint="eastAsia" w:ascii="仿宋" w:hAnsi="仿宋" w:eastAsia="仿宋" w:cs="仿宋"/>
          <w:sz w:val="30"/>
          <w:szCs w:val="30"/>
        </w:rPr>
        <w:t>无“三公”经费支出。</w:t>
      </w:r>
      <w:r>
        <w:rPr>
          <w:rFonts w:hint="eastAsia" w:ascii="仿宋" w:hAnsi="仿宋" w:eastAsia="仿宋" w:cs="仿宋"/>
          <w:color w:val="000000"/>
          <w:kern w:val="0"/>
          <w:sz w:val="30"/>
          <w:szCs w:val="30"/>
        </w:rPr>
        <w:t>主要是按照中央及市委、市政府关于厉行节约、改进工作作风、密切联系群众</w:t>
      </w:r>
      <w:r>
        <w:rPr>
          <w:rFonts w:hint="eastAsia" w:ascii="仿宋" w:hAnsi="仿宋" w:eastAsia="仿宋" w:cs="仿宋"/>
          <w:color w:val="000000"/>
          <w:kern w:val="0"/>
          <w:sz w:val="30"/>
          <w:szCs w:val="30"/>
          <w:lang w:eastAsia="zh-CN"/>
        </w:rPr>
        <w:t>中央八项规定</w:t>
      </w:r>
      <w:r>
        <w:rPr>
          <w:rFonts w:hint="eastAsia" w:ascii="仿宋" w:hAnsi="仿宋" w:eastAsia="仿宋" w:cs="仿宋"/>
          <w:color w:val="000000"/>
          <w:kern w:val="0"/>
          <w:sz w:val="30"/>
          <w:szCs w:val="30"/>
        </w:rPr>
        <w:t>等有关要求，严格控制“三公”经费支出。</w:t>
      </w:r>
    </w:p>
    <w:p w14:paraId="2E036C69">
      <w:pPr>
        <w:widowControl/>
        <w:spacing w:line="330" w:lineRule="atLeast"/>
        <w:ind w:firstLine="600" w:firstLineChars="200"/>
        <w:jc w:val="left"/>
        <w:rPr>
          <w:rFonts w:ascii="仿宋" w:hAnsi="仿宋" w:eastAsia="仿宋"/>
          <w:color w:val="000000"/>
          <w:sz w:val="30"/>
          <w:szCs w:val="30"/>
        </w:rPr>
      </w:pPr>
      <w:r>
        <w:rPr>
          <w:rFonts w:hint="eastAsia" w:ascii="仿宋" w:hAnsi="仿宋" w:eastAsia="仿宋" w:cs="仿宋"/>
          <w:color w:val="000000"/>
          <w:kern w:val="0"/>
          <w:sz w:val="30"/>
          <w:szCs w:val="30"/>
        </w:rPr>
        <w:t>三、机关运行经费安排情况说明</w:t>
      </w:r>
    </w:p>
    <w:p w14:paraId="3FCFC3B2">
      <w:pPr>
        <w:widowControl/>
        <w:spacing w:line="330" w:lineRule="atLeast"/>
        <w:ind w:firstLine="600" w:firstLineChars="200"/>
        <w:jc w:val="left"/>
        <w:rPr>
          <w:rFonts w:hint="eastAsia" w:ascii="仿宋" w:hAnsi="仿宋" w:eastAsia="仿宋" w:cs="仿宋"/>
          <w:color w:val="000000"/>
          <w:kern w:val="0"/>
          <w:sz w:val="30"/>
          <w:szCs w:val="30"/>
          <w:lang w:val="en-US" w:eastAsia="zh-CN"/>
        </w:rPr>
      </w:pPr>
      <w:r>
        <w:rPr>
          <w:rFonts w:hint="eastAsia" w:ascii="仿宋" w:hAnsi="仿宋" w:eastAsia="仿宋" w:cs="仿宋"/>
          <w:color w:val="000000"/>
          <w:kern w:val="0"/>
          <w:sz w:val="30"/>
          <w:szCs w:val="30"/>
        </w:rPr>
        <w:t>机关运行经费包括定额公用经费</w:t>
      </w:r>
      <w:r>
        <w:rPr>
          <w:rFonts w:hint="eastAsia" w:ascii="仿宋" w:hAnsi="仿宋" w:eastAsia="仿宋" w:cs="仿宋"/>
          <w:color w:val="000000"/>
          <w:kern w:val="0"/>
          <w:sz w:val="30"/>
          <w:szCs w:val="30"/>
          <w:lang w:val="en-US" w:eastAsia="zh-CN"/>
        </w:rPr>
        <w:t>14.35</w:t>
      </w:r>
      <w:r>
        <w:rPr>
          <w:rFonts w:hint="eastAsia" w:ascii="仿宋" w:hAnsi="仿宋" w:eastAsia="仿宋" w:cs="仿宋"/>
          <w:color w:val="000000"/>
          <w:kern w:val="0"/>
          <w:sz w:val="30"/>
          <w:szCs w:val="30"/>
        </w:rPr>
        <w:t>万元</w:t>
      </w:r>
      <w:r>
        <w:rPr>
          <w:rFonts w:hint="eastAsia" w:ascii="仿宋" w:hAnsi="仿宋" w:eastAsia="仿宋" w:cs="仿宋"/>
          <w:color w:val="000000"/>
          <w:kern w:val="0"/>
          <w:sz w:val="30"/>
          <w:szCs w:val="30"/>
          <w:lang w:val="en-US" w:eastAsia="zh-CN"/>
        </w:rPr>
        <w:t>。</w:t>
      </w:r>
    </w:p>
    <w:p w14:paraId="2E43FD7C">
      <w:pPr>
        <w:widowControl/>
        <w:spacing w:line="330" w:lineRule="atLeast"/>
        <w:ind w:firstLine="600" w:firstLineChars="200"/>
        <w:jc w:val="left"/>
        <w:rPr>
          <w:rFonts w:ascii="仿宋" w:hAnsi="仿宋" w:eastAsia="仿宋"/>
          <w:color w:val="000000"/>
          <w:sz w:val="30"/>
          <w:szCs w:val="30"/>
        </w:rPr>
      </w:pPr>
      <w:r>
        <w:rPr>
          <w:rFonts w:hint="eastAsia" w:ascii="仿宋" w:hAnsi="仿宋" w:eastAsia="仿宋" w:cs="仿宋"/>
          <w:color w:val="000000"/>
          <w:kern w:val="0"/>
          <w:sz w:val="30"/>
          <w:szCs w:val="30"/>
        </w:rPr>
        <w:t>四、政府采购情况说明</w:t>
      </w:r>
    </w:p>
    <w:p w14:paraId="3F6D6203">
      <w:pPr>
        <w:widowControl/>
        <w:spacing w:line="330" w:lineRule="atLeast"/>
        <w:ind w:firstLine="600" w:firstLineChars="200"/>
        <w:jc w:val="left"/>
        <w:rPr>
          <w:rFonts w:hint="eastAsia" w:ascii="仿宋" w:hAnsi="仿宋" w:eastAsia="仿宋" w:cs="仿宋"/>
          <w:color w:val="000000"/>
          <w:kern w:val="0"/>
          <w:sz w:val="30"/>
          <w:szCs w:val="30"/>
          <w:lang w:eastAsia="zh-CN"/>
        </w:rPr>
      </w:pPr>
      <w:r>
        <w:rPr>
          <w:rFonts w:hint="eastAsia" w:ascii="仿宋" w:hAnsi="仿宋" w:eastAsia="仿宋" w:cs="仿宋"/>
          <w:color w:val="000000"/>
          <w:kern w:val="0"/>
          <w:sz w:val="30"/>
          <w:szCs w:val="30"/>
          <w:lang w:eastAsia="zh-CN"/>
        </w:rPr>
        <w:t>政府采购经费包括：</w:t>
      </w:r>
    </w:p>
    <w:p w14:paraId="0CFB8061">
      <w:pPr>
        <w:widowControl/>
        <w:spacing w:line="330" w:lineRule="atLeast"/>
        <w:ind w:firstLine="600" w:firstLineChars="200"/>
        <w:jc w:val="left"/>
        <w:rPr>
          <w:rFonts w:hint="eastAsia" w:ascii="仿宋" w:hAnsi="仿宋" w:eastAsia="仿宋" w:cs="仿宋"/>
          <w:color w:val="000000"/>
          <w:kern w:val="0"/>
          <w:sz w:val="30"/>
          <w:szCs w:val="30"/>
          <w:lang w:eastAsia="zh-CN"/>
        </w:rPr>
      </w:pPr>
      <w:bookmarkStart w:id="0" w:name="OLE_LINK1"/>
      <w:r>
        <w:rPr>
          <w:rFonts w:hint="eastAsia" w:ascii="仿宋" w:hAnsi="仿宋" w:eastAsia="仿宋" w:cs="仿宋"/>
          <w:color w:val="000000"/>
          <w:kern w:val="0"/>
          <w:sz w:val="30"/>
          <w:szCs w:val="30"/>
          <w:lang w:eastAsia="zh-CN"/>
        </w:rPr>
        <w:t>大连高新技术产业园区营商环境建设局</w:t>
      </w:r>
      <w:bookmarkEnd w:id="0"/>
      <w:r>
        <w:rPr>
          <w:rFonts w:hint="eastAsia" w:ascii="仿宋" w:hAnsi="仿宋" w:eastAsia="仿宋" w:cs="仿宋"/>
          <w:color w:val="000000"/>
          <w:kern w:val="0"/>
          <w:sz w:val="30"/>
          <w:szCs w:val="30"/>
          <w:lang w:eastAsia="zh-CN"/>
        </w:rPr>
        <w:t>政务服务大厅窗口建设服务采购306.01万元；</w:t>
      </w:r>
    </w:p>
    <w:p w14:paraId="34E53E8D">
      <w:pPr>
        <w:widowControl/>
        <w:spacing w:line="330" w:lineRule="atLeast"/>
        <w:ind w:firstLine="600" w:firstLineChars="200"/>
        <w:jc w:val="left"/>
        <w:rPr>
          <w:rFonts w:hint="eastAsia" w:ascii="仿宋" w:hAnsi="仿宋" w:eastAsia="仿宋" w:cs="仿宋"/>
          <w:color w:val="000000"/>
          <w:kern w:val="0"/>
          <w:sz w:val="30"/>
          <w:szCs w:val="30"/>
          <w:lang w:eastAsia="zh-CN"/>
        </w:rPr>
      </w:pPr>
      <w:r>
        <w:rPr>
          <w:rFonts w:hint="eastAsia" w:ascii="仿宋" w:hAnsi="仿宋" w:eastAsia="仿宋" w:cs="仿宋"/>
          <w:color w:val="000000"/>
          <w:kern w:val="0"/>
          <w:sz w:val="30"/>
          <w:szCs w:val="30"/>
          <w:lang w:eastAsia="zh-CN"/>
        </w:rPr>
        <w:t>大连高新技术产业园区营商环境建设局政务服务中心物业服务356.55万元；</w:t>
      </w:r>
    </w:p>
    <w:p w14:paraId="65A37F65">
      <w:pPr>
        <w:widowControl/>
        <w:spacing w:line="330" w:lineRule="atLeast"/>
        <w:ind w:firstLine="600" w:firstLineChars="200"/>
        <w:jc w:val="left"/>
        <w:rPr>
          <w:rFonts w:hint="eastAsia" w:ascii="仿宋" w:hAnsi="仿宋" w:eastAsia="仿宋" w:cs="仿宋"/>
          <w:color w:val="000000"/>
          <w:kern w:val="0"/>
          <w:sz w:val="30"/>
          <w:szCs w:val="30"/>
          <w:lang w:eastAsia="zh-CN"/>
        </w:rPr>
      </w:pPr>
      <w:r>
        <w:rPr>
          <w:rFonts w:hint="eastAsia" w:ascii="仿宋" w:hAnsi="仿宋" w:eastAsia="仿宋" w:cs="仿宋"/>
          <w:color w:val="000000"/>
          <w:kern w:val="0"/>
          <w:sz w:val="30"/>
          <w:szCs w:val="30"/>
          <w:lang w:eastAsia="zh-CN"/>
        </w:rPr>
        <w:t>大连高新技术产业园区营商环境建设局管委会信息系统云服务</w:t>
      </w:r>
      <w:r>
        <w:rPr>
          <w:rFonts w:hint="eastAsia" w:ascii="仿宋" w:hAnsi="仿宋" w:eastAsia="仿宋" w:cs="仿宋"/>
          <w:color w:val="000000"/>
          <w:kern w:val="0"/>
          <w:sz w:val="30"/>
          <w:szCs w:val="30"/>
          <w:lang w:val="en-US" w:eastAsia="zh-CN"/>
        </w:rPr>
        <w:t>134.85</w:t>
      </w:r>
      <w:r>
        <w:rPr>
          <w:rFonts w:hint="eastAsia" w:ascii="仿宋" w:hAnsi="仿宋" w:eastAsia="仿宋" w:cs="仿宋"/>
          <w:color w:val="000000"/>
          <w:kern w:val="0"/>
          <w:sz w:val="30"/>
          <w:szCs w:val="30"/>
          <w:lang w:eastAsia="zh-CN"/>
        </w:rPr>
        <w:t>万元；</w:t>
      </w:r>
    </w:p>
    <w:p w14:paraId="6453479D">
      <w:pPr>
        <w:widowControl/>
        <w:spacing w:line="330" w:lineRule="atLeast"/>
        <w:ind w:firstLine="600" w:firstLineChars="200"/>
        <w:jc w:val="left"/>
        <w:rPr>
          <w:rFonts w:hint="eastAsia" w:ascii="仿宋" w:hAnsi="仿宋" w:eastAsia="仿宋" w:cs="仿宋"/>
          <w:color w:val="000000"/>
          <w:kern w:val="0"/>
          <w:sz w:val="30"/>
          <w:szCs w:val="30"/>
          <w:lang w:eastAsia="zh-CN"/>
        </w:rPr>
      </w:pPr>
      <w:r>
        <w:rPr>
          <w:rFonts w:hint="eastAsia" w:ascii="仿宋" w:hAnsi="仿宋" w:eastAsia="仿宋" w:cs="仿宋"/>
          <w:color w:val="000000"/>
          <w:kern w:val="0"/>
          <w:sz w:val="30"/>
          <w:szCs w:val="30"/>
          <w:lang w:eastAsia="zh-CN"/>
        </w:rPr>
        <w:t>大连高新技术产业园区营商环境建设局“数字高新”云服务303.12万元；</w:t>
      </w:r>
    </w:p>
    <w:p w14:paraId="65CC9516">
      <w:pPr>
        <w:widowControl/>
        <w:spacing w:line="330" w:lineRule="atLeast"/>
        <w:ind w:firstLine="600" w:firstLineChars="200"/>
        <w:jc w:val="left"/>
        <w:rPr>
          <w:rFonts w:hint="eastAsia" w:ascii="仿宋" w:hAnsi="仿宋" w:eastAsia="仿宋" w:cs="仿宋"/>
          <w:color w:val="000000"/>
          <w:kern w:val="0"/>
          <w:sz w:val="30"/>
          <w:szCs w:val="30"/>
          <w:lang w:eastAsia="zh-CN"/>
        </w:rPr>
      </w:pPr>
      <w:r>
        <w:rPr>
          <w:rFonts w:hint="eastAsia" w:ascii="仿宋" w:hAnsi="仿宋" w:eastAsia="仿宋" w:cs="仿宋"/>
          <w:color w:val="000000"/>
          <w:kern w:val="0"/>
          <w:sz w:val="30"/>
          <w:szCs w:val="30"/>
          <w:lang w:eastAsia="zh-CN"/>
        </w:rPr>
        <w:t>大连高新技术产业园区营商环境建设局管委会信息网络安全等级保护测评服务112.73万元；</w:t>
      </w:r>
    </w:p>
    <w:p w14:paraId="3E25883F">
      <w:pPr>
        <w:widowControl/>
        <w:spacing w:line="330" w:lineRule="atLeast"/>
        <w:ind w:firstLine="600" w:firstLineChars="200"/>
        <w:jc w:val="left"/>
        <w:rPr>
          <w:rFonts w:hint="eastAsia" w:ascii="仿宋" w:hAnsi="仿宋" w:eastAsia="仿宋" w:cs="仿宋"/>
          <w:color w:val="000000"/>
          <w:kern w:val="0"/>
          <w:sz w:val="30"/>
          <w:szCs w:val="30"/>
          <w:lang w:eastAsia="zh-CN"/>
        </w:rPr>
      </w:pPr>
      <w:r>
        <w:rPr>
          <w:rFonts w:hint="eastAsia" w:ascii="仿宋" w:hAnsi="仿宋" w:eastAsia="仿宋" w:cs="仿宋"/>
          <w:color w:val="000000"/>
          <w:kern w:val="0"/>
          <w:sz w:val="30"/>
          <w:szCs w:val="30"/>
          <w:lang w:eastAsia="zh-CN"/>
        </w:rPr>
        <w:t>大连高新技术产业园区营商环境建设局管委会、行政服务大厅无线网络覆盖服务60.15万元；</w:t>
      </w:r>
    </w:p>
    <w:p w14:paraId="5774E833">
      <w:pPr>
        <w:widowControl/>
        <w:spacing w:line="330" w:lineRule="atLeast"/>
        <w:ind w:firstLine="600" w:firstLineChars="200"/>
        <w:jc w:val="left"/>
        <w:rPr>
          <w:rFonts w:hint="eastAsia" w:ascii="仿宋" w:hAnsi="仿宋" w:eastAsia="仿宋" w:cs="仿宋"/>
          <w:color w:val="000000"/>
          <w:kern w:val="0"/>
          <w:sz w:val="30"/>
          <w:szCs w:val="30"/>
          <w:lang w:eastAsia="zh-CN"/>
        </w:rPr>
      </w:pPr>
      <w:r>
        <w:rPr>
          <w:rFonts w:hint="eastAsia" w:ascii="仿宋" w:hAnsi="仿宋" w:eastAsia="仿宋" w:cs="仿宋"/>
          <w:color w:val="000000"/>
          <w:kern w:val="0"/>
          <w:sz w:val="30"/>
          <w:szCs w:val="30"/>
          <w:lang w:eastAsia="zh-CN"/>
        </w:rPr>
        <w:t>大连高新技术产业园区营商环境建设局政务服务中心食堂管理费233.7万元；</w:t>
      </w:r>
    </w:p>
    <w:p w14:paraId="0DF882B3">
      <w:pPr>
        <w:widowControl/>
        <w:spacing w:line="330" w:lineRule="atLeast"/>
        <w:ind w:firstLine="600" w:firstLineChars="200"/>
        <w:jc w:val="left"/>
        <w:rPr>
          <w:rFonts w:hint="eastAsia" w:ascii="仿宋" w:hAnsi="仿宋" w:eastAsia="仿宋" w:cs="仿宋"/>
          <w:color w:val="000000"/>
          <w:kern w:val="0"/>
          <w:sz w:val="30"/>
          <w:szCs w:val="30"/>
          <w:lang w:eastAsia="zh-CN"/>
        </w:rPr>
      </w:pPr>
      <w:r>
        <w:rPr>
          <w:rFonts w:hint="eastAsia" w:ascii="仿宋" w:hAnsi="仿宋" w:eastAsia="仿宋" w:cs="仿宋"/>
          <w:color w:val="000000"/>
          <w:kern w:val="0"/>
          <w:sz w:val="30"/>
          <w:szCs w:val="30"/>
          <w:lang w:eastAsia="zh-CN"/>
        </w:rPr>
        <w:t>大连高新技术产业园区营商环境建设局管委会网络安全运维服务采购40万元；</w:t>
      </w:r>
    </w:p>
    <w:p w14:paraId="717C0FBD">
      <w:pPr>
        <w:widowControl/>
        <w:spacing w:line="330" w:lineRule="atLeast"/>
        <w:ind w:firstLine="600" w:firstLineChars="200"/>
        <w:jc w:val="left"/>
        <w:rPr>
          <w:rFonts w:hint="eastAsia" w:ascii="仿宋" w:hAnsi="仿宋" w:eastAsia="仿宋" w:cs="仿宋"/>
          <w:color w:val="000000"/>
          <w:kern w:val="0"/>
          <w:sz w:val="30"/>
          <w:szCs w:val="30"/>
          <w:lang w:eastAsia="zh-CN"/>
        </w:rPr>
      </w:pPr>
      <w:r>
        <w:rPr>
          <w:rFonts w:hint="eastAsia" w:ascii="仿宋" w:hAnsi="仿宋" w:eastAsia="仿宋" w:cs="仿宋"/>
          <w:color w:val="000000"/>
          <w:kern w:val="0"/>
          <w:sz w:val="30"/>
          <w:szCs w:val="30"/>
          <w:lang w:eastAsia="zh-CN"/>
        </w:rPr>
        <w:t>大连高新技术产业园区营商环境建设局“数字高新”软件系统运维服务278万元；</w:t>
      </w:r>
    </w:p>
    <w:p w14:paraId="5E8FB702">
      <w:pPr>
        <w:widowControl/>
        <w:spacing w:line="330" w:lineRule="atLeast"/>
        <w:ind w:firstLine="600" w:firstLineChars="200"/>
        <w:jc w:val="left"/>
        <w:rPr>
          <w:rFonts w:hint="eastAsia" w:ascii="仿宋" w:hAnsi="仿宋" w:eastAsia="仿宋" w:cs="仿宋"/>
          <w:color w:val="000000"/>
          <w:kern w:val="0"/>
          <w:sz w:val="30"/>
          <w:szCs w:val="30"/>
          <w:lang w:val="en-US" w:eastAsia="zh-CN"/>
        </w:rPr>
      </w:pPr>
      <w:r>
        <w:rPr>
          <w:rFonts w:hint="eastAsia" w:ascii="仿宋" w:hAnsi="仿宋" w:eastAsia="仿宋" w:cs="仿宋"/>
          <w:color w:val="000000"/>
          <w:kern w:val="0"/>
          <w:sz w:val="30"/>
          <w:szCs w:val="30"/>
          <w:lang w:eastAsia="zh-CN"/>
        </w:rPr>
        <w:t>大连高新技术产业园区营商环境建设局互联网专线费用</w:t>
      </w:r>
      <w:r>
        <w:rPr>
          <w:rFonts w:hint="eastAsia" w:ascii="仿宋" w:hAnsi="仿宋" w:eastAsia="仿宋" w:cs="仿宋"/>
          <w:color w:val="000000"/>
          <w:kern w:val="0"/>
          <w:sz w:val="30"/>
          <w:szCs w:val="30"/>
          <w:lang w:val="en-US" w:eastAsia="zh-CN"/>
        </w:rPr>
        <w:t>48万元；</w:t>
      </w:r>
    </w:p>
    <w:p w14:paraId="7657714F">
      <w:pPr>
        <w:widowControl/>
        <w:spacing w:line="330" w:lineRule="atLeast"/>
        <w:ind w:firstLine="600" w:firstLineChars="200"/>
        <w:jc w:val="left"/>
        <w:rPr>
          <w:rFonts w:hint="eastAsia" w:ascii="仿宋" w:hAnsi="仿宋" w:eastAsia="仿宋" w:cs="仿宋"/>
          <w:color w:val="000000"/>
          <w:kern w:val="0"/>
          <w:sz w:val="30"/>
          <w:szCs w:val="30"/>
          <w:lang w:val="en-US" w:eastAsia="zh-CN"/>
        </w:rPr>
      </w:pPr>
      <w:r>
        <w:rPr>
          <w:rFonts w:hint="eastAsia" w:ascii="仿宋" w:hAnsi="仿宋" w:eastAsia="仿宋" w:cs="仿宋"/>
          <w:color w:val="000000"/>
          <w:kern w:val="0"/>
          <w:sz w:val="30"/>
          <w:szCs w:val="30"/>
          <w:lang w:eastAsia="zh-CN"/>
        </w:rPr>
        <w:t>大连高新技术产业园区营商环境建设局</w:t>
      </w:r>
      <w:r>
        <w:rPr>
          <w:rFonts w:hint="eastAsia" w:ascii="仿宋" w:hAnsi="仿宋" w:eastAsia="仿宋" w:cs="仿宋"/>
          <w:color w:val="000000"/>
          <w:kern w:val="0"/>
          <w:sz w:val="30"/>
          <w:szCs w:val="30"/>
          <w:lang w:val="en-US" w:eastAsia="zh-CN"/>
        </w:rPr>
        <w:t>基层社会治理工作信息采集终端流量费27.1万元。</w:t>
      </w:r>
    </w:p>
    <w:p w14:paraId="7998E88B">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五、政府性基金收支预算情况</w:t>
      </w:r>
    </w:p>
    <w:p w14:paraId="47F2C137">
      <w:pPr>
        <w:widowControl/>
        <w:spacing w:line="330" w:lineRule="atLeast"/>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无政府性基金预算收支。</w:t>
      </w:r>
    </w:p>
    <w:p w14:paraId="39A4378E">
      <w:pPr>
        <w:spacing w:line="330" w:lineRule="atLeast"/>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六、国有资产占有使用情况说明</w:t>
      </w:r>
    </w:p>
    <w:p w14:paraId="40C6B150">
      <w:pPr>
        <w:tabs>
          <w:tab w:val="left" w:pos="4678"/>
        </w:tabs>
        <w:spacing w:line="330" w:lineRule="atLeast"/>
        <w:ind w:firstLine="600" w:firstLineChars="200"/>
        <w:rPr>
          <w:rFonts w:hint="eastAsia" w:ascii="仿宋" w:hAnsi="仿宋" w:eastAsia="仿宋"/>
          <w:sz w:val="30"/>
          <w:szCs w:val="30"/>
        </w:rPr>
      </w:pPr>
      <w:r>
        <w:rPr>
          <w:rFonts w:hint="eastAsia" w:ascii="仿宋" w:hAnsi="仿宋" w:eastAsia="仿宋"/>
          <w:sz w:val="30"/>
          <w:szCs w:val="30"/>
        </w:rPr>
        <w:t>国有资产占有使用情况说明为：截至202</w:t>
      </w:r>
      <w:r>
        <w:rPr>
          <w:rFonts w:hint="eastAsia" w:ascii="仿宋" w:hAnsi="仿宋" w:eastAsia="仿宋"/>
          <w:sz w:val="30"/>
          <w:szCs w:val="30"/>
          <w:lang w:val="en-US" w:eastAsia="zh-CN"/>
        </w:rPr>
        <w:t>3</w:t>
      </w:r>
      <w:r>
        <w:rPr>
          <w:rFonts w:hint="eastAsia" w:ascii="仿宋" w:hAnsi="仿宋" w:eastAsia="仿宋"/>
          <w:sz w:val="30"/>
          <w:szCs w:val="30"/>
        </w:rPr>
        <w:t>年12月31日，部门（单位）共有车辆0辆；单位价值50万元（含）以上通用设备0台（套）；单位价值100万元以上专用设备0台（套）。</w:t>
      </w:r>
    </w:p>
    <w:p w14:paraId="6100D1AE">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七、预算绩效管理情况</w:t>
      </w:r>
    </w:p>
    <w:p w14:paraId="5EB5805B">
      <w:pPr>
        <w:tabs>
          <w:tab w:val="left" w:pos="4678"/>
        </w:tabs>
        <w:spacing w:line="330" w:lineRule="atLeast"/>
        <w:ind w:firstLine="600" w:firstLineChars="200"/>
        <w:rPr>
          <w:rFonts w:hint="eastAsia" w:ascii="仿宋" w:hAnsi="仿宋" w:eastAsia="仿宋"/>
          <w:sz w:val="30"/>
          <w:szCs w:val="30"/>
        </w:rPr>
      </w:pPr>
      <w:r>
        <w:rPr>
          <w:rFonts w:ascii="仿宋" w:hAnsi="仿宋" w:eastAsia="仿宋"/>
          <w:sz w:val="30"/>
          <w:szCs w:val="30"/>
        </w:rPr>
        <w:t>20</w:t>
      </w:r>
      <w:r>
        <w:rPr>
          <w:rFonts w:hint="eastAsia" w:ascii="仿宋" w:hAnsi="仿宋" w:eastAsia="仿宋"/>
          <w:sz w:val="30"/>
          <w:szCs w:val="30"/>
        </w:rPr>
        <w:t>2</w:t>
      </w:r>
      <w:r>
        <w:rPr>
          <w:rFonts w:hint="eastAsia" w:ascii="仿宋" w:hAnsi="仿宋" w:eastAsia="仿宋"/>
          <w:sz w:val="30"/>
          <w:szCs w:val="30"/>
          <w:lang w:val="en-US" w:eastAsia="zh-CN"/>
        </w:rPr>
        <w:t>4</w:t>
      </w:r>
      <w:r>
        <w:rPr>
          <w:rFonts w:hint="eastAsia" w:ascii="仿宋" w:hAnsi="仿宋" w:eastAsia="仿宋"/>
          <w:sz w:val="30"/>
          <w:szCs w:val="30"/>
        </w:rPr>
        <w:t>年，按照“先有绩效，后有预算”原则，本部门共计编制绩效目标</w:t>
      </w:r>
      <w:r>
        <w:rPr>
          <w:rFonts w:hint="eastAsia" w:ascii="仿宋" w:hAnsi="仿宋" w:eastAsia="仿宋"/>
          <w:sz w:val="30"/>
          <w:szCs w:val="30"/>
          <w:lang w:val="en-US" w:eastAsia="zh-CN"/>
        </w:rPr>
        <w:t>9</w:t>
      </w:r>
      <w:r>
        <w:rPr>
          <w:rFonts w:hint="eastAsia" w:ascii="仿宋" w:hAnsi="仿宋" w:eastAsia="仿宋"/>
          <w:sz w:val="30"/>
          <w:szCs w:val="30"/>
        </w:rPr>
        <w:t>个，预算金额1597.07</w:t>
      </w:r>
      <w:r>
        <w:rPr>
          <w:rFonts w:hint="eastAsia" w:ascii="仿宋" w:hAnsi="仿宋" w:eastAsia="仿宋" w:cs="仿宋"/>
          <w:color w:val="000000"/>
          <w:kern w:val="0"/>
          <w:sz w:val="30"/>
          <w:szCs w:val="30"/>
        </w:rPr>
        <w:t>万元</w:t>
      </w:r>
      <w:r>
        <w:rPr>
          <w:rFonts w:hint="eastAsia" w:ascii="仿宋" w:hAnsi="仿宋" w:eastAsia="仿宋"/>
          <w:sz w:val="30"/>
          <w:szCs w:val="30"/>
        </w:rPr>
        <w:t>，占项目支出预算比重</w:t>
      </w:r>
      <w:r>
        <w:rPr>
          <w:rFonts w:ascii="仿宋" w:hAnsi="仿宋" w:eastAsia="仿宋"/>
          <w:sz w:val="30"/>
          <w:szCs w:val="30"/>
        </w:rPr>
        <w:t>100%</w:t>
      </w:r>
      <w:r>
        <w:rPr>
          <w:rFonts w:hint="eastAsia" w:ascii="仿宋" w:hAnsi="仿宋" w:eastAsia="仿宋"/>
          <w:sz w:val="30"/>
          <w:szCs w:val="30"/>
        </w:rPr>
        <w:t>。</w:t>
      </w:r>
    </w:p>
    <w:p w14:paraId="14AE367B">
      <w:pPr>
        <w:widowControl/>
        <w:spacing w:line="330" w:lineRule="atLeast"/>
        <w:ind w:firstLine="600" w:firstLineChars="200"/>
        <w:jc w:val="left"/>
        <w:rPr>
          <w:rFonts w:hint="eastAsia" w:ascii="仿宋" w:hAnsi="仿宋" w:eastAsia="仿宋" w:cs="仿宋"/>
          <w:color w:val="000000"/>
          <w:kern w:val="0"/>
          <w:sz w:val="30"/>
          <w:szCs w:val="30"/>
          <w:lang w:eastAsia="zh-CN"/>
        </w:rPr>
      </w:pPr>
      <w:r>
        <w:rPr>
          <w:rFonts w:hint="eastAsia" w:ascii="仿宋" w:hAnsi="仿宋" w:eastAsia="仿宋" w:cs="Verdana"/>
          <w:color w:val="000000"/>
          <w:sz w:val="30"/>
          <w:szCs w:val="30"/>
        </w:rPr>
        <w:t>八、</w:t>
      </w:r>
      <w:r>
        <w:rPr>
          <w:rFonts w:hint="eastAsia" w:ascii="仿宋" w:hAnsi="仿宋" w:eastAsia="仿宋" w:cs="仿宋"/>
          <w:color w:val="000000"/>
          <w:kern w:val="0"/>
          <w:sz w:val="30"/>
          <w:szCs w:val="30"/>
          <w:lang w:eastAsia="zh-CN"/>
        </w:rPr>
        <w:t>政务服务大厅窗口建设服务采购</w:t>
      </w:r>
    </w:p>
    <w:p w14:paraId="7E19AB29">
      <w:pPr>
        <w:ind w:firstLine="600" w:firstLineChars="200"/>
        <w:outlineLvl w:val="0"/>
        <w:rPr>
          <w:rFonts w:ascii="仿宋" w:hAnsi="仿宋" w:eastAsia="仿宋" w:cs="仿宋_GB2312"/>
          <w:bCs/>
          <w:color w:val="000000"/>
          <w:kern w:val="0"/>
          <w:sz w:val="30"/>
          <w:szCs w:val="30"/>
        </w:rPr>
      </w:pPr>
      <w:r>
        <w:rPr>
          <w:rFonts w:hint="eastAsia" w:ascii="仿宋" w:hAnsi="仿宋" w:eastAsia="仿宋" w:cs="仿宋_GB2312"/>
          <w:bCs/>
          <w:color w:val="000000"/>
          <w:kern w:val="0"/>
          <w:sz w:val="30"/>
          <w:szCs w:val="30"/>
        </w:rPr>
        <w:t>1.项目概述</w:t>
      </w:r>
    </w:p>
    <w:p w14:paraId="1B6B2E81">
      <w:pPr>
        <w:ind w:firstLine="600" w:firstLineChars="200"/>
        <w:rPr>
          <w:rFonts w:hint="eastAsia" w:ascii="仿宋" w:hAnsi="仿宋" w:eastAsia="仿宋" w:cs="Verdana"/>
          <w:kern w:val="0"/>
          <w:sz w:val="30"/>
          <w:szCs w:val="30"/>
        </w:rPr>
      </w:pPr>
      <w:r>
        <w:rPr>
          <w:rFonts w:hint="eastAsia" w:ascii="仿宋" w:hAnsi="仿宋" w:eastAsia="仿宋" w:cs="Verdana"/>
          <w:kern w:val="0"/>
          <w:sz w:val="30"/>
          <w:szCs w:val="30"/>
        </w:rPr>
        <w:t>营商局通过政府购买服务方式采购政务服务大厅工作人员服务，为前来政务服务中心办事群众、企业提供窗口及导引等服务，提高办事效率，创造优良营商环境。</w:t>
      </w:r>
    </w:p>
    <w:p w14:paraId="5BD16BF7">
      <w:pPr>
        <w:ind w:firstLine="600" w:firstLineChars="200"/>
        <w:rPr>
          <w:rFonts w:ascii="仿宋" w:hAnsi="仿宋" w:eastAsia="仿宋" w:cs="仿宋_GB2312"/>
          <w:color w:val="000000"/>
          <w:kern w:val="0"/>
          <w:sz w:val="30"/>
          <w:szCs w:val="30"/>
        </w:rPr>
      </w:pPr>
      <w:r>
        <w:rPr>
          <w:rFonts w:hint="eastAsia" w:ascii="仿宋" w:hAnsi="仿宋" w:eastAsia="仿宋" w:cs="仿宋_GB2312"/>
          <w:bCs/>
          <w:color w:val="000000"/>
          <w:kern w:val="0"/>
          <w:sz w:val="30"/>
          <w:szCs w:val="30"/>
        </w:rPr>
        <w:t>2.立项依据</w:t>
      </w:r>
    </w:p>
    <w:p w14:paraId="0A4236D8">
      <w:pPr>
        <w:ind w:firstLine="600" w:firstLineChars="200"/>
        <w:outlineLvl w:val="0"/>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 xml:space="preserve">《关于启动高新区行政服务智能化综合窗口建设项目的会议纪要》；《关于审议公共服务中心二期改建工程相关事宜的会议纪要》；《2022年第2次管委会会议纪要》。 </w:t>
      </w:r>
    </w:p>
    <w:p w14:paraId="60AFB19E">
      <w:pPr>
        <w:ind w:firstLine="600" w:firstLineChars="200"/>
        <w:outlineLvl w:val="0"/>
        <w:rPr>
          <w:rFonts w:ascii="仿宋" w:hAnsi="仿宋" w:eastAsia="仿宋" w:cs="仿宋_GB2312"/>
          <w:bCs/>
          <w:color w:val="000000"/>
          <w:kern w:val="0"/>
          <w:sz w:val="30"/>
          <w:szCs w:val="30"/>
        </w:rPr>
      </w:pPr>
      <w:r>
        <w:rPr>
          <w:rFonts w:hint="eastAsia" w:ascii="仿宋" w:hAnsi="仿宋" w:eastAsia="仿宋" w:cs="仿宋_GB2312"/>
          <w:bCs/>
          <w:color w:val="000000"/>
          <w:kern w:val="0"/>
          <w:sz w:val="30"/>
          <w:szCs w:val="30"/>
        </w:rPr>
        <w:t>3.实施主体</w:t>
      </w:r>
    </w:p>
    <w:p w14:paraId="47E527F5">
      <w:pPr>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项目具体组织实施的部门为高新区营商环境建设局。</w:t>
      </w:r>
    </w:p>
    <w:p w14:paraId="3D8C7F3A">
      <w:pPr>
        <w:ind w:left="160" w:firstLine="450" w:firstLineChars="150"/>
        <w:rPr>
          <w:rFonts w:ascii="仿宋" w:hAnsi="仿宋" w:eastAsia="仿宋" w:cs="仿宋_GB2312"/>
          <w:bCs/>
          <w:color w:val="000000"/>
          <w:kern w:val="0"/>
          <w:sz w:val="30"/>
          <w:szCs w:val="30"/>
        </w:rPr>
      </w:pPr>
      <w:r>
        <w:rPr>
          <w:rFonts w:hint="eastAsia" w:ascii="仿宋" w:hAnsi="仿宋" w:eastAsia="仿宋" w:cs="仿宋_GB2312"/>
          <w:bCs/>
          <w:color w:val="000000"/>
          <w:kern w:val="0"/>
          <w:sz w:val="30"/>
          <w:szCs w:val="30"/>
        </w:rPr>
        <w:t>4.实施方案</w:t>
      </w:r>
    </w:p>
    <w:p w14:paraId="729A9C65">
      <w:pPr>
        <w:ind w:firstLine="600" w:firstLineChars="200"/>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依据管委会会议纪要，2020年起，营商局通过政府购买服务方式采购政务服务大厅综合窗口服务和诉求分拨服务。2024年，依据市审计局审计要求，将三个服务项目合并成一个服务项目，目前已履行政府采购程序，中标价为306.01万元。</w:t>
      </w:r>
    </w:p>
    <w:p w14:paraId="13981A55">
      <w:pPr>
        <w:ind w:firstLine="600" w:firstLineChars="200"/>
      </w:pPr>
      <w:r>
        <w:rPr>
          <w:rFonts w:hint="eastAsia" w:ascii="仿宋" w:hAnsi="仿宋" w:eastAsia="仿宋" w:cs="仿宋"/>
          <w:color w:val="000000"/>
          <w:kern w:val="0"/>
          <w:sz w:val="30"/>
          <w:szCs w:val="30"/>
        </w:rPr>
        <w:t>拟定《大连高新区政务服务中心综合窗口工作人员管理办法》，对在大连高新区政务服务中心，根据企事业单位、群众的需求，提供政务服务咨询引导、材料初审、流转、办结通知、送达等相关服务的工作人员以及在大连高新区12345政务服务便民热线平台（以下称“区诉求平台”），根据企事业单位、群众的需求，综合运用电话、互联网等服务方式，统一受理自然人、法人和非法人组织涉及政府、企事业单位的管理和服务非紧急诉求的拨测、转接、审查核定、回访反馈、跟踪监测、数据分析等业务工作的人员进行统一管理。</w:t>
      </w:r>
    </w:p>
    <w:p w14:paraId="25208889">
      <w:pPr>
        <w:ind w:firstLine="600" w:firstLineChars="200"/>
        <w:rPr>
          <w:rFonts w:ascii="仿宋" w:hAnsi="仿宋" w:eastAsia="仿宋" w:cs="仿宋_GB2312"/>
          <w:bCs/>
          <w:color w:val="000000"/>
          <w:kern w:val="0"/>
          <w:sz w:val="30"/>
          <w:szCs w:val="30"/>
        </w:rPr>
      </w:pPr>
      <w:r>
        <w:rPr>
          <w:rFonts w:hint="eastAsia" w:ascii="仿宋" w:hAnsi="仿宋" w:eastAsia="仿宋" w:cs="仿宋_GB2312"/>
          <w:bCs/>
          <w:color w:val="000000"/>
          <w:kern w:val="0"/>
          <w:sz w:val="30"/>
          <w:szCs w:val="30"/>
        </w:rPr>
        <w:t>5.实施周期</w:t>
      </w:r>
    </w:p>
    <w:p w14:paraId="557C3FA4">
      <w:pPr>
        <w:ind w:firstLine="600" w:firstLineChars="200"/>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项目起止时间为202</w:t>
      </w:r>
      <w:r>
        <w:rPr>
          <w:rFonts w:hint="eastAsia" w:ascii="仿宋" w:hAnsi="仿宋" w:eastAsia="仿宋" w:cs="仿宋"/>
          <w:color w:val="000000"/>
          <w:kern w:val="0"/>
          <w:sz w:val="30"/>
          <w:szCs w:val="30"/>
          <w:lang w:val="en-US" w:eastAsia="zh-CN"/>
        </w:rPr>
        <w:t>4</w:t>
      </w:r>
      <w:r>
        <w:rPr>
          <w:rFonts w:hint="eastAsia" w:ascii="仿宋" w:hAnsi="仿宋" w:eastAsia="仿宋" w:cs="仿宋"/>
          <w:color w:val="000000"/>
          <w:kern w:val="0"/>
          <w:sz w:val="30"/>
          <w:szCs w:val="30"/>
        </w:rPr>
        <w:t>年1月1日到202</w:t>
      </w:r>
      <w:r>
        <w:rPr>
          <w:rFonts w:hint="eastAsia" w:ascii="仿宋" w:hAnsi="仿宋" w:eastAsia="仿宋" w:cs="仿宋"/>
          <w:color w:val="000000"/>
          <w:kern w:val="0"/>
          <w:sz w:val="30"/>
          <w:szCs w:val="30"/>
          <w:lang w:val="en-US" w:eastAsia="zh-CN"/>
        </w:rPr>
        <w:t>4</w:t>
      </w:r>
      <w:r>
        <w:rPr>
          <w:rFonts w:hint="eastAsia" w:ascii="仿宋" w:hAnsi="仿宋" w:eastAsia="仿宋" w:cs="仿宋"/>
          <w:color w:val="000000"/>
          <w:kern w:val="0"/>
          <w:sz w:val="30"/>
          <w:szCs w:val="30"/>
        </w:rPr>
        <w:t>年12月31日。</w:t>
      </w:r>
    </w:p>
    <w:p w14:paraId="3782FB35">
      <w:pPr>
        <w:ind w:firstLine="600" w:firstLineChars="200"/>
        <w:rPr>
          <w:rFonts w:ascii="仿宋" w:hAnsi="仿宋" w:eastAsia="仿宋" w:cs="仿宋_GB2312"/>
          <w:bCs/>
          <w:color w:val="000000"/>
          <w:kern w:val="0"/>
          <w:sz w:val="30"/>
          <w:szCs w:val="30"/>
        </w:rPr>
      </w:pPr>
      <w:r>
        <w:rPr>
          <w:rFonts w:hint="eastAsia" w:ascii="仿宋" w:hAnsi="仿宋" w:eastAsia="仿宋" w:cs="仿宋_GB2312"/>
          <w:bCs/>
          <w:color w:val="000000"/>
          <w:kern w:val="0"/>
          <w:sz w:val="30"/>
          <w:szCs w:val="30"/>
        </w:rPr>
        <w:t>6.年度预算安排</w:t>
      </w:r>
    </w:p>
    <w:p w14:paraId="48CE6E96">
      <w:pPr>
        <w:widowControl/>
        <w:spacing w:line="330" w:lineRule="atLeast"/>
        <w:ind w:firstLine="600" w:firstLineChars="200"/>
        <w:jc w:val="left"/>
        <w:rPr>
          <w:rFonts w:hint="eastAsia" w:ascii="仿宋" w:hAnsi="仿宋" w:eastAsia="仿宋" w:cs="仿宋"/>
          <w:color w:val="000000"/>
          <w:kern w:val="0"/>
          <w:sz w:val="30"/>
          <w:szCs w:val="30"/>
          <w:lang w:val="en-US" w:eastAsia="zh-CN"/>
        </w:rPr>
      </w:pPr>
      <w:r>
        <w:rPr>
          <w:rFonts w:hint="eastAsia" w:ascii="仿宋" w:hAnsi="仿宋" w:eastAsia="仿宋" w:cs="仿宋"/>
          <w:color w:val="000000"/>
          <w:kern w:val="0"/>
          <w:sz w:val="30"/>
          <w:szCs w:val="30"/>
        </w:rPr>
        <w:t>202</w:t>
      </w:r>
      <w:r>
        <w:rPr>
          <w:rFonts w:hint="eastAsia" w:ascii="仿宋" w:hAnsi="仿宋" w:eastAsia="仿宋" w:cs="仿宋"/>
          <w:color w:val="000000"/>
          <w:kern w:val="0"/>
          <w:sz w:val="30"/>
          <w:szCs w:val="30"/>
          <w:lang w:val="en-US" w:eastAsia="zh-CN"/>
        </w:rPr>
        <w:t>4</w:t>
      </w:r>
      <w:r>
        <w:rPr>
          <w:rFonts w:hint="eastAsia" w:ascii="仿宋" w:hAnsi="仿宋" w:eastAsia="仿宋" w:cs="仿宋"/>
          <w:color w:val="000000"/>
          <w:kern w:val="0"/>
          <w:sz w:val="30"/>
          <w:szCs w:val="30"/>
        </w:rPr>
        <w:t>年拟安排该项目一般公共预算</w:t>
      </w:r>
      <w:r>
        <w:rPr>
          <w:rFonts w:hint="eastAsia" w:ascii="仿宋" w:hAnsi="仿宋" w:eastAsia="仿宋" w:cs="仿宋"/>
          <w:color w:val="000000"/>
          <w:kern w:val="0"/>
          <w:sz w:val="30"/>
          <w:szCs w:val="30"/>
          <w:lang w:val="en-US" w:eastAsia="zh-CN"/>
        </w:rPr>
        <w:t>306.01万元。</w:t>
      </w:r>
    </w:p>
    <w:p w14:paraId="02285A8E">
      <w:pPr>
        <w:pStyle w:val="2"/>
      </w:pPr>
    </w:p>
    <w:p w14:paraId="517672C6">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第三部分</w:t>
      </w:r>
      <w:r>
        <w:rPr>
          <w:rFonts w:ascii="仿宋" w:hAnsi="仿宋" w:eastAsia="仿宋" w:cs="仿宋"/>
          <w:color w:val="000000"/>
          <w:kern w:val="0"/>
          <w:sz w:val="30"/>
          <w:szCs w:val="30"/>
        </w:rPr>
        <w:t xml:space="preserve"> </w:t>
      </w:r>
      <w:r>
        <w:rPr>
          <w:rFonts w:hint="eastAsia" w:ascii="仿宋" w:hAnsi="仿宋" w:eastAsia="仿宋" w:cs="仿宋"/>
          <w:color w:val="000000"/>
          <w:kern w:val="0"/>
          <w:sz w:val="30"/>
          <w:szCs w:val="30"/>
        </w:rPr>
        <w:t>名词解释</w:t>
      </w:r>
    </w:p>
    <w:p w14:paraId="11D1159F">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w:t>
      </w:r>
      <w:r>
        <w:rPr>
          <w:rFonts w:hint="eastAsia" w:ascii="仿宋" w:hAnsi="仿宋" w:eastAsia="仿宋" w:cs="仿宋"/>
          <w:color w:val="000000"/>
          <w:kern w:val="0"/>
          <w:sz w:val="30"/>
          <w:szCs w:val="30"/>
        </w:rPr>
        <w:t>财政拨款收入：指市财政当年拨付的资金。</w:t>
      </w:r>
      <w:r>
        <w:rPr>
          <w:rFonts w:ascii="仿宋" w:hAnsi="仿宋" w:eastAsia="仿宋" w:cs="仿宋"/>
          <w:color w:val="000000"/>
          <w:kern w:val="0"/>
          <w:sz w:val="30"/>
          <w:szCs w:val="30"/>
        </w:rPr>
        <w:t xml:space="preserve"> </w:t>
      </w:r>
    </w:p>
    <w:p w14:paraId="3A765E7E">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2.</w:t>
      </w:r>
      <w:r>
        <w:rPr>
          <w:rFonts w:hint="eastAsia" w:ascii="仿宋" w:hAnsi="仿宋" w:eastAsia="仿宋" w:cs="仿宋"/>
          <w:color w:val="000000"/>
          <w:kern w:val="0"/>
          <w:sz w:val="30"/>
          <w:szCs w:val="30"/>
        </w:rPr>
        <w:t>其他收入：指除“财政拨款收入”、“财政专户拨款收入”等以外的收入，包括事业单位经营性收入、上级补助收入、附属单位上缴收入等。</w:t>
      </w:r>
    </w:p>
    <w:p w14:paraId="425FD3F3">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3.</w:t>
      </w:r>
      <w:r>
        <w:rPr>
          <w:rFonts w:hint="eastAsia" w:ascii="仿宋" w:hAnsi="仿宋" w:eastAsia="仿宋" w:cs="仿宋"/>
          <w:color w:val="000000"/>
          <w:kern w:val="0"/>
          <w:sz w:val="30"/>
          <w:szCs w:val="30"/>
        </w:rPr>
        <w:t>基本支出：指为保障机构正常运转、完成日常工作任务而发生的人员支出和公用支出。</w:t>
      </w:r>
    </w:p>
    <w:p w14:paraId="0A74B890">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4.</w:t>
      </w:r>
      <w:r>
        <w:rPr>
          <w:rFonts w:hint="eastAsia" w:ascii="仿宋" w:hAnsi="仿宋" w:eastAsia="仿宋" w:cs="仿宋"/>
          <w:color w:val="000000"/>
          <w:kern w:val="0"/>
          <w:sz w:val="30"/>
          <w:szCs w:val="30"/>
        </w:rPr>
        <w:t>项目支出：指在基本支出之外为完成特定行政任务和事业发展目标所发生的支出。</w:t>
      </w:r>
    </w:p>
    <w:p w14:paraId="59B5BF98">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5.</w:t>
      </w:r>
      <w:r>
        <w:rPr>
          <w:rFonts w:hint="eastAsia" w:ascii="仿宋" w:hAnsi="仿宋" w:eastAsia="仿宋" w:cs="仿宋"/>
          <w:color w:val="000000"/>
          <w:kern w:val="0"/>
          <w:sz w:val="30"/>
          <w:szCs w:val="30"/>
        </w:rPr>
        <w:t>“三公”经费：指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04BE29E0">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6.</w:t>
      </w:r>
      <w:r>
        <w:rPr>
          <w:rFonts w:hint="eastAsia" w:ascii="仿宋" w:hAnsi="仿宋" w:eastAsia="仿宋" w:cs="仿宋"/>
          <w:color w:val="000000"/>
          <w:kern w:val="0"/>
          <w:sz w:val="30"/>
          <w:szCs w:val="30"/>
        </w:rPr>
        <w:t>一般公共服务（类）财政事务（款）行政运行（项）：反映行政单位（包括实行公务员管理的事业单位）的基本支出。</w:t>
      </w:r>
    </w:p>
    <w:p w14:paraId="7ACE8640">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7.</w:t>
      </w:r>
      <w:r>
        <w:rPr>
          <w:rFonts w:hint="eastAsia" w:ascii="仿宋" w:hAnsi="仿宋" w:eastAsia="仿宋" w:cs="仿宋"/>
          <w:color w:val="000000"/>
          <w:kern w:val="0"/>
          <w:sz w:val="30"/>
          <w:szCs w:val="30"/>
        </w:rPr>
        <w:t>一般公共服务（类）财政事务（款）一般行政管理事务（项）：反映行政单位（包括实行公务员管理的事业单位）未单独设置项级科目的其他项目支出。</w:t>
      </w:r>
    </w:p>
    <w:p w14:paraId="045A4B37">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8</w:t>
      </w:r>
      <w:r>
        <w:rPr>
          <w:rFonts w:hint="eastAsia" w:ascii="仿宋" w:hAnsi="仿宋" w:eastAsia="仿宋" w:cs="仿宋"/>
          <w:color w:val="000000"/>
          <w:kern w:val="0"/>
          <w:sz w:val="30"/>
          <w:szCs w:val="30"/>
        </w:rPr>
        <w:t>一般公共服务（类）财政事务（款）信息化建设（项）：反映财政部门用于“金财工程”等信息化建设方面的支出。</w:t>
      </w:r>
    </w:p>
    <w:p w14:paraId="57D95D23">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9.</w:t>
      </w:r>
      <w:r>
        <w:rPr>
          <w:rFonts w:hint="eastAsia" w:ascii="仿宋" w:hAnsi="仿宋" w:eastAsia="仿宋" w:cs="仿宋"/>
          <w:color w:val="000000"/>
          <w:kern w:val="0"/>
          <w:sz w:val="30"/>
          <w:szCs w:val="30"/>
        </w:rPr>
        <w:t>一般公共服务（类）财政事务（款）财政委托业务支出（项）：反映财政委托评审机构进行财政投资评审和委托建设银行等机构代理业务发生的支出。</w:t>
      </w:r>
    </w:p>
    <w:p w14:paraId="0AB80374">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 xml:space="preserve">10. </w:t>
      </w:r>
      <w:r>
        <w:rPr>
          <w:rFonts w:hint="eastAsia" w:ascii="仿宋" w:hAnsi="仿宋" w:eastAsia="仿宋" w:cs="仿宋"/>
          <w:color w:val="000000"/>
          <w:kern w:val="0"/>
          <w:sz w:val="30"/>
          <w:szCs w:val="30"/>
        </w:rPr>
        <w:t>一般公共服务（类）财政事务（款）事业运行（项）：反映事业单位的基本支出，不包括行政单位（包括实行公务员管理的事业单位）后勤服务中心、医务室等附属事业单位。</w:t>
      </w:r>
    </w:p>
    <w:p w14:paraId="54FFFB8B">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 xml:space="preserve">11. </w:t>
      </w:r>
      <w:r>
        <w:rPr>
          <w:rFonts w:hint="eastAsia" w:ascii="仿宋" w:hAnsi="仿宋" w:eastAsia="仿宋" w:cs="仿宋"/>
          <w:color w:val="000000"/>
          <w:kern w:val="0"/>
          <w:sz w:val="30"/>
          <w:szCs w:val="30"/>
        </w:rPr>
        <w:t>一般公共服务（类）财政事务（款）其他财政事务支出（项）：反映其他财政事务方面的支出。</w:t>
      </w:r>
    </w:p>
    <w:p w14:paraId="29AE1744">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12</w:t>
      </w:r>
      <w:r>
        <w:rPr>
          <w:rFonts w:hint="eastAsia" w:ascii="仿宋" w:hAnsi="仿宋" w:eastAsia="仿宋" w:cs="仿宋"/>
          <w:color w:val="000000"/>
          <w:kern w:val="0"/>
          <w:sz w:val="30"/>
          <w:szCs w:val="30"/>
        </w:rPr>
        <w:t>．教育支出（类）其他教育支出（款）其他教育支出（项）：反映其他用于教育方面的支出。</w:t>
      </w:r>
    </w:p>
    <w:p w14:paraId="06690B2A">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 xml:space="preserve">13. </w:t>
      </w:r>
      <w:r>
        <w:rPr>
          <w:rFonts w:hint="eastAsia" w:ascii="仿宋" w:hAnsi="仿宋" w:eastAsia="仿宋" w:cs="仿宋"/>
          <w:color w:val="000000"/>
          <w:kern w:val="0"/>
          <w:sz w:val="30"/>
          <w:szCs w:val="30"/>
        </w:rPr>
        <w:t>社会保障和就业（类）行政事业单位离退休（款）归口管理的行政单位离退休（项）：反映实行归口管理的行政单位（包括实行公务员管理的事业单位）开支的离退休经费。</w:t>
      </w:r>
    </w:p>
    <w:p w14:paraId="7D0D01C1">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 xml:space="preserve">14. </w:t>
      </w:r>
      <w:r>
        <w:rPr>
          <w:rFonts w:hint="eastAsia" w:ascii="仿宋" w:hAnsi="仿宋" w:eastAsia="仿宋" w:cs="仿宋"/>
          <w:color w:val="000000"/>
          <w:kern w:val="0"/>
          <w:sz w:val="30"/>
          <w:szCs w:val="30"/>
        </w:rPr>
        <w:t>社会保障和就业（类）行政事业单位离退休（款）机关事业单位基本养老保险缴费支出（项）：反映机关事业单位实施养老保险制度由单位缴纳的基本养老保险费支出。</w:t>
      </w:r>
    </w:p>
    <w:p w14:paraId="612257EC">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15.</w:t>
      </w:r>
      <w:r>
        <w:rPr>
          <w:rFonts w:hint="eastAsia" w:ascii="仿宋" w:hAnsi="仿宋" w:eastAsia="仿宋" w:cs="仿宋"/>
          <w:color w:val="000000"/>
          <w:kern w:val="0"/>
          <w:sz w:val="30"/>
          <w:szCs w:val="30"/>
        </w:rPr>
        <w:t>医疗卫生与计划生育（类）医疗保障（款）行政单位医疗（项）：反映财政部门集中安排的行政单位基本医疗保险缴费经费，未参加医疗保险的行政单位的公费医疗经费，按国家规定享受离休人员、红军老战士待遇人员的医疗经费。</w:t>
      </w:r>
    </w:p>
    <w:p w14:paraId="24C9F499">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16.</w:t>
      </w:r>
      <w:r>
        <w:rPr>
          <w:rFonts w:hint="eastAsia" w:ascii="仿宋" w:hAnsi="仿宋" w:eastAsia="仿宋" w:cs="仿宋"/>
          <w:color w:val="000000"/>
          <w:kern w:val="0"/>
          <w:sz w:val="30"/>
          <w:szCs w:val="30"/>
        </w:rPr>
        <w:t>医疗卫生与计划生育（类）医疗保障（款）事业单位医疗（项）：反映财政部门集中安排的事业单位基本医疗保险缴费经费，未参加医疗保险的事业单位的公费医疗经费，按国家规定享受离休人员待遇人员的医疗经费。</w:t>
      </w:r>
    </w:p>
    <w:p w14:paraId="5AFFD14A">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17.</w:t>
      </w:r>
      <w:r>
        <w:rPr>
          <w:rFonts w:hint="eastAsia" w:ascii="仿宋" w:hAnsi="仿宋" w:eastAsia="仿宋" w:cs="仿宋"/>
          <w:color w:val="000000"/>
          <w:kern w:val="0"/>
          <w:sz w:val="30"/>
          <w:szCs w:val="30"/>
        </w:rPr>
        <w:t>住房保障（类）住房改革（款）住房公积金（项）：反映行政事业单位按人力资源和社会保障部、财政部规定的基本工资和津贴补贴以及规定比例为职工缴纳的住房公积金。</w:t>
      </w:r>
    </w:p>
    <w:p w14:paraId="4BF5BB6D">
      <w:pPr>
        <w:widowControl/>
        <w:spacing w:line="330" w:lineRule="atLeast"/>
        <w:ind w:firstLine="600" w:firstLineChars="200"/>
        <w:jc w:val="left"/>
        <w:rPr>
          <w:rFonts w:hint="eastAsia" w:ascii="仿宋" w:hAnsi="仿宋" w:eastAsia="仿宋" w:cs="仿宋"/>
          <w:color w:val="000000"/>
          <w:kern w:val="0"/>
          <w:sz w:val="30"/>
          <w:szCs w:val="30"/>
        </w:rPr>
      </w:pPr>
      <w:r>
        <w:rPr>
          <w:rFonts w:ascii="仿宋" w:hAnsi="仿宋" w:eastAsia="仿宋" w:cs="仿宋"/>
          <w:color w:val="000000"/>
          <w:kern w:val="0"/>
          <w:sz w:val="30"/>
          <w:szCs w:val="30"/>
        </w:rPr>
        <w:t>18.</w:t>
      </w:r>
      <w:r>
        <w:rPr>
          <w:rFonts w:hint="eastAsia" w:ascii="仿宋" w:hAnsi="仿宋" w:eastAsia="仿宋" w:cs="仿宋"/>
          <w:color w:val="000000"/>
          <w:kern w:val="0"/>
          <w:sz w:val="30"/>
          <w:szCs w:val="30"/>
        </w:rPr>
        <w:t>机关运行经费。是指各部门的公用经费，包括办公及印刷费、邮电费、会议费、福利费、日常维修费、专用材料及一般设备购置费、办公用房水电费、办公用房取暖费、办公用房物业管理费、公务用车运行维护费以及其他费用。</w:t>
      </w:r>
    </w:p>
    <w:p w14:paraId="421DD343">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 xml:space="preserve">                                 </w:t>
      </w:r>
      <w:r>
        <w:rPr>
          <w:rFonts w:hint="eastAsia" w:ascii="仿宋" w:hAnsi="仿宋" w:eastAsia="仿宋" w:cs="仿宋"/>
          <w:color w:val="000000"/>
          <w:kern w:val="0"/>
          <w:sz w:val="30"/>
          <w:szCs w:val="30"/>
        </w:rPr>
        <w:t>20</w:t>
      </w:r>
      <w:r>
        <w:rPr>
          <w:rFonts w:hint="eastAsia" w:ascii="仿宋" w:hAnsi="仿宋" w:eastAsia="仿宋" w:cs="仿宋"/>
          <w:color w:val="000000"/>
          <w:kern w:val="0"/>
          <w:sz w:val="30"/>
          <w:szCs w:val="30"/>
          <w:lang w:val="en-US" w:eastAsia="zh-CN"/>
        </w:rPr>
        <w:t>24</w:t>
      </w:r>
      <w:r>
        <w:rPr>
          <w:rFonts w:hint="eastAsia" w:ascii="仿宋" w:hAnsi="仿宋" w:eastAsia="仿宋" w:cs="仿宋"/>
          <w:color w:val="000000"/>
          <w:kern w:val="0"/>
          <w:sz w:val="30"/>
          <w:szCs w:val="30"/>
        </w:rPr>
        <w:t>年</w:t>
      </w:r>
      <w:r>
        <w:rPr>
          <w:rFonts w:hint="eastAsia" w:ascii="仿宋" w:hAnsi="仿宋" w:eastAsia="仿宋" w:cs="仿宋"/>
          <w:color w:val="000000"/>
          <w:kern w:val="0"/>
          <w:sz w:val="30"/>
          <w:szCs w:val="30"/>
          <w:lang w:val="en-US" w:eastAsia="zh-CN"/>
        </w:rPr>
        <w:t>2</w:t>
      </w:r>
      <w:r>
        <w:rPr>
          <w:rFonts w:hint="eastAsia" w:ascii="仿宋" w:hAnsi="仿宋" w:eastAsia="仿宋" w:cs="仿宋"/>
          <w:color w:val="000000"/>
          <w:kern w:val="0"/>
          <w:sz w:val="30"/>
          <w:szCs w:val="30"/>
        </w:rPr>
        <w:t>月</w:t>
      </w:r>
      <w:r>
        <w:rPr>
          <w:rFonts w:hint="eastAsia" w:ascii="仿宋" w:hAnsi="仿宋" w:eastAsia="仿宋" w:cs="仿宋"/>
          <w:color w:val="000000"/>
          <w:kern w:val="0"/>
          <w:sz w:val="30"/>
          <w:szCs w:val="30"/>
          <w:lang w:val="en-US" w:eastAsia="zh-CN"/>
        </w:rPr>
        <w:t>5</w:t>
      </w:r>
      <w:r>
        <w:rPr>
          <w:rFonts w:hint="eastAsia" w:ascii="仿宋" w:hAnsi="仿宋" w:eastAsia="仿宋" w:cs="仿宋"/>
          <w:color w:val="000000"/>
          <w:kern w:val="0"/>
          <w:sz w:val="30"/>
          <w:szCs w:val="30"/>
        </w:rPr>
        <w:t>日</w:t>
      </w:r>
    </w:p>
    <w:p w14:paraId="0E0D6B5F">
      <w:pPr>
        <w:widowControl/>
        <w:spacing w:line="330" w:lineRule="atLeast"/>
        <w:ind w:firstLine="600" w:firstLineChars="200"/>
        <w:jc w:val="left"/>
        <w:rPr>
          <w:rFonts w:ascii="仿宋" w:hAnsi="仿宋" w:eastAsia="仿宋" w:cs="仿宋"/>
          <w:color w:val="000000"/>
          <w:kern w:val="0"/>
          <w:sz w:val="30"/>
          <w:szCs w:val="30"/>
        </w:rPr>
      </w:pPr>
    </w:p>
    <w:sectPr>
      <w:footerReference r:id="rId3" w:type="default"/>
      <w:footerReference r:id="rId4" w:type="even"/>
      <w:pgSz w:w="11906" w:h="16838"/>
      <w:pgMar w:top="1531" w:right="1797" w:bottom="113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5A31A0">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separate"/>
    </w:r>
    <w:r>
      <w:rPr>
        <w:rStyle w:val="7"/>
      </w:rPr>
      <w:t>1</w:t>
    </w:r>
    <w:r>
      <w:rPr>
        <w:rStyle w:val="7"/>
      </w:rPr>
      <w:fldChar w:fldCharType="end"/>
    </w:r>
  </w:p>
  <w:p w14:paraId="215A560C">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98B112">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14:paraId="7D8A3F30">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3C05D4"/>
    <w:multiLevelType w:val="multilevel"/>
    <w:tmpl w:val="3C3C05D4"/>
    <w:lvl w:ilvl="0" w:tentative="0">
      <w:start w:val="1"/>
      <w:numFmt w:val="japaneseCounting"/>
      <w:lvlText w:val="%1、"/>
      <w:lvlJc w:val="left"/>
      <w:pPr>
        <w:ind w:left="1320" w:hanging="72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wNGRiZGY1MzBhMTJkODIxZWRjZDQ4NWVkNDZkYmYifQ=="/>
  </w:docVars>
  <w:rsids>
    <w:rsidRoot w:val="00F01060"/>
    <w:rsid w:val="00002530"/>
    <w:rsid w:val="000045B8"/>
    <w:rsid w:val="000130C2"/>
    <w:rsid w:val="00016264"/>
    <w:rsid w:val="00017B87"/>
    <w:rsid w:val="000220BC"/>
    <w:rsid w:val="00022B54"/>
    <w:rsid w:val="0003365D"/>
    <w:rsid w:val="00041854"/>
    <w:rsid w:val="00045CEA"/>
    <w:rsid w:val="00046D52"/>
    <w:rsid w:val="00053D99"/>
    <w:rsid w:val="00066F30"/>
    <w:rsid w:val="00084B59"/>
    <w:rsid w:val="0009175B"/>
    <w:rsid w:val="000A55C1"/>
    <w:rsid w:val="000C6D05"/>
    <w:rsid w:val="000E6C93"/>
    <w:rsid w:val="000E7D75"/>
    <w:rsid w:val="000F7EC7"/>
    <w:rsid w:val="00101BE5"/>
    <w:rsid w:val="00104AD4"/>
    <w:rsid w:val="0010550E"/>
    <w:rsid w:val="00105E0D"/>
    <w:rsid w:val="00106522"/>
    <w:rsid w:val="00122ACC"/>
    <w:rsid w:val="00150877"/>
    <w:rsid w:val="001518B3"/>
    <w:rsid w:val="00161209"/>
    <w:rsid w:val="0016161C"/>
    <w:rsid w:val="00164A2E"/>
    <w:rsid w:val="00165857"/>
    <w:rsid w:val="00187190"/>
    <w:rsid w:val="00195C8B"/>
    <w:rsid w:val="001961A4"/>
    <w:rsid w:val="001B4947"/>
    <w:rsid w:val="001D2999"/>
    <w:rsid w:val="001D6117"/>
    <w:rsid w:val="001D7051"/>
    <w:rsid w:val="001E3E93"/>
    <w:rsid w:val="001E6730"/>
    <w:rsid w:val="001F6AE8"/>
    <w:rsid w:val="00224F6B"/>
    <w:rsid w:val="00264775"/>
    <w:rsid w:val="00265F8B"/>
    <w:rsid w:val="00275DE8"/>
    <w:rsid w:val="002777B6"/>
    <w:rsid w:val="0028538B"/>
    <w:rsid w:val="00286258"/>
    <w:rsid w:val="00297382"/>
    <w:rsid w:val="00297E4B"/>
    <w:rsid w:val="002B62F5"/>
    <w:rsid w:val="002C2B9F"/>
    <w:rsid w:val="002D1847"/>
    <w:rsid w:val="002D68D6"/>
    <w:rsid w:val="002D7A1C"/>
    <w:rsid w:val="002E6BAD"/>
    <w:rsid w:val="002F1203"/>
    <w:rsid w:val="002F31AA"/>
    <w:rsid w:val="003003AA"/>
    <w:rsid w:val="00312B1C"/>
    <w:rsid w:val="00315D51"/>
    <w:rsid w:val="00320A20"/>
    <w:rsid w:val="0032565D"/>
    <w:rsid w:val="003374E4"/>
    <w:rsid w:val="00342DA2"/>
    <w:rsid w:val="003431AF"/>
    <w:rsid w:val="00346C8A"/>
    <w:rsid w:val="003667AD"/>
    <w:rsid w:val="00370937"/>
    <w:rsid w:val="00397456"/>
    <w:rsid w:val="003B50ED"/>
    <w:rsid w:val="003C65CD"/>
    <w:rsid w:val="003E105F"/>
    <w:rsid w:val="003E26ED"/>
    <w:rsid w:val="003E3CD6"/>
    <w:rsid w:val="003E61DA"/>
    <w:rsid w:val="003F2AA1"/>
    <w:rsid w:val="003F2C19"/>
    <w:rsid w:val="003F4DFF"/>
    <w:rsid w:val="003F4F25"/>
    <w:rsid w:val="004115C9"/>
    <w:rsid w:val="004221E9"/>
    <w:rsid w:val="00430928"/>
    <w:rsid w:val="00441EBD"/>
    <w:rsid w:val="00447DC8"/>
    <w:rsid w:val="0047716E"/>
    <w:rsid w:val="004A7158"/>
    <w:rsid w:val="004B603D"/>
    <w:rsid w:val="004D7EA6"/>
    <w:rsid w:val="004E350F"/>
    <w:rsid w:val="004F7A6E"/>
    <w:rsid w:val="00502BB0"/>
    <w:rsid w:val="005040D0"/>
    <w:rsid w:val="005132D7"/>
    <w:rsid w:val="00537475"/>
    <w:rsid w:val="005637BB"/>
    <w:rsid w:val="005749B7"/>
    <w:rsid w:val="005776F0"/>
    <w:rsid w:val="00592029"/>
    <w:rsid w:val="00592DE2"/>
    <w:rsid w:val="00594FB5"/>
    <w:rsid w:val="005A04CC"/>
    <w:rsid w:val="005B1E8A"/>
    <w:rsid w:val="005B2CD0"/>
    <w:rsid w:val="005B319B"/>
    <w:rsid w:val="005C36FD"/>
    <w:rsid w:val="005D44C4"/>
    <w:rsid w:val="005D6181"/>
    <w:rsid w:val="005D6799"/>
    <w:rsid w:val="005E5D50"/>
    <w:rsid w:val="005F4DCC"/>
    <w:rsid w:val="005F6310"/>
    <w:rsid w:val="00614500"/>
    <w:rsid w:val="00620092"/>
    <w:rsid w:val="0062792A"/>
    <w:rsid w:val="00641134"/>
    <w:rsid w:val="00645983"/>
    <w:rsid w:val="006541E5"/>
    <w:rsid w:val="00666DD9"/>
    <w:rsid w:val="00680054"/>
    <w:rsid w:val="00685E3D"/>
    <w:rsid w:val="00691AA8"/>
    <w:rsid w:val="00692DD1"/>
    <w:rsid w:val="006952EC"/>
    <w:rsid w:val="006973B4"/>
    <w:rsid w:val="006B3DD4"/>
    <w:rsid w:val="006C50F8"/>
    <w:rsid w:val="006C5384"/>
    <w:rsid w:val="006E5605"/>
    <w:rsid w:val="00712E1A"/>
    <w:rsid w:val="0075074F"/>
    <w:rsid w:val="00753345"/>
    <w:rsid w:val="00753F26"/>
    <w:rsid w:val="00755C7B"/>
    <w:rsid w:val="0076461C"/>
    <w:rsid w:val="00765393"/>
    <w:rsid w:val="00766D8D"/>
    <w:rsid w:val="00767D60"/>
    <w:rsid w:val="00772D51"/>
    <w:rsid w:val="007805EB"/>
    <w:rsid w:val="00780EAB"/>
    <w:rsid w:val="00793572"/>
    <w:rsid w:val="007971B7"/>
    <w:rsid w:val="00797B39"/>
    <w:rsid w:val="007B0D20"/>
    <w:rsid w:val="007B12D0"/>
    <w:rsid w:val="007C5E3C"/>
    <w:rsid w:val="007C73E6"/>
    <w:rsid w:val="007D0C23"/>
    <w:rsid w:val="007E5065"/>
    <w:rsid w:val="007F23D9"/>
    <w:rsid w:val="007F5365"/>
    <w:rsid w:val="008207A6"/>
    <w:rsid w:val="0082397E"/>
    <w:rsid w:val="008261A0"/>
    <w:rsid w:val="00826E6F"/>
    <w:rsid w:val="0085203E"/>
    <w:rsid w:val="008620BC"/>
    <w:rsid w:val="008641D1"/>
    <w:rsid w:val="00883A66"/>
    <w:rsid w:val="008955EA"/>
    <w:rsid w:val="00895749"/>
    <w:rsid w:val="008957F7"/>
    <w:rsid w:val="00896F89"/>
    <w:rsid w:val="008B01B8"/>
    <w:rsid w:val="008B3318"/>
    <w:rsid w:val="008B5C35"/>
    <w:rsid w:val="008C77BC"/>
    <w:rsid w:val="008D5CB1"/>
    <w:rsid w:val="009244A6"/>
    <w:rsid w:val="00941B10"/>
    <w:rsid w:val="00946663"/>
    <w:rsid w:val="009568F1"/>
    <w:rsid w:val="00961681"/>
    <w:rsid w:val="0096311F"/>
    <w:rsid w:val="009644D4"/>
    <w:rsid w:val="009652AA"/>
    <w:rsid w:val="009815EE"/>
    <w:rsid w:val="009848F0"/>
    <w:rsid w:val="00985830"/>
    <w:rsid w:val="009870F9"/>
    <w:rsid w:val="009A584B"/>
    <w:rsid w:val="009A7A3B"/>
    <w:rsid w:val="009B00D7"/>
    <w:rsid w:val="009B2426"/>
    <w:rsid w:val="009E374F"/>
    <w:rsid w:val="009F1015"/>
    <w:rsid w:val="009F229D"/>
    <w:rsid w:val="00A12672"/>
    <w:rsid w:val="00A150E4"/>
    <w:rsid w:val="00A2204B"/>
    <w:rsid w:val="00A26A44"/>
    <w:rsid w:val="00A30FB9"/>
    <w:rsid w:val="00A3368B"/>
    <w:rsid w:val="00A377FD"/>
    <w:rsid w:val="00A37AC3"/>
    <w:rsid w:val="00A51DF0"/>
    <w:rsid w:val="00A5261D"/>
    <w:rsid w:val="00A5549A"/>
    <w:rsid w:val="00A60D00"/>
    <w:rsid w:val="00A70656"/>
    <w:rsid w:val="00A730EF"/>
    <w:rsid w:val="00A7639E"/>
    <w:rsid w:val="00A81826"/>
    <w:rsid w:val="00A924A6"/>
    <w:rsid w:val="00AA73C6"/>
    <w:rsid w:val="00AC7B47"/>
    <w:rsid w:val="00AE72D3"/>
    <w:rsid w:val="00AE7779"/>
    <w:rsid w:val="00B07BF3"/>
    <w:rsid w:val="00B217F1"/>
    <w:rsid w:val="00B3394E"/>
    <w:rsid w:val="00B40E6C"/>
    <w:rsid w:val="00B42381"/>
    <w:rsid w:val="00B4656B"/>
    <w:rsid w:val="00B607B9"/>
    <w:rsid w:val="00B6416E"/>
    <w:rsid w:val="00B7118F"/>
    <w:rsid w:val="00BE53AA"/>
    <w:rsid w:val="00BF5A10"/>
    <w:rsid w:val="00C00895"/>
    <w:rsid w:val="00C0387D"/>
    <w:rsid w:val="00C052C0"/>
    <w:rsid w:val="00C052EC"/>
    <w:rsid w:val="00C14319"/>
    <w:rsid w:val="00C3494E"/>
    <w:rsid w:val="00C403F4"/>
    <w:rsid w:val="00C52D9E"/>
    <w:rsid w:val="00C61A43"/>
    <w:rsid w:val="00C6442C"/>
    <w:rsid w:val="00C67479"/>
    <w:rsid w:val="00C82EE1"/>
    <w:rsid w:val="00CB7182"/>
    <w:rsid w:val="00CC08D2"/>
    <w:rsid w:val="00CD1F30"/>
    <w:rsid w:val="00CD248C"/>
    <w:rsid w:val="00CD52EE"/>
    <w:rsid w:val="00CF43DA"/>
    <w:rsid w:val="00CF5A1D"/>
    <w:rsid w:val="00CF6BD2"/>
    <w:rsid w:val="00CF7B35"/>
    <w:rsid w:val="00D10236"/>
    <w:rsid w:val="00D176CA"/>
    <w:rsid w:val="00D400F0"/>
    <w:rsid w:val="00D41A68"/>
    <w:rsid w:val="00D54F71"/>
    <w:rsid w:val="00D559DB"/>
    <w:rsid w:val="00D62F3D"/>
    <w:rsid w:val="00D63803"/>
    <w:rsid w:val="00D70887"/>
    <w:rsid w:val="00D72171"/>
    <w:rsid w:val="00D82E50"/>
    <w:rsid w:val="00D876AC"/>
    <w:rsid w:val="00DA4DBA"/>
    <w:rsid w:val="00DA4EA4"/>
    <w:rsid w:val="00DC1136"/>
    <w:rsid w:val="00DC68C9"/>
    <w:rsid w:val="00DD605A"/>
    <w:rsid w:val="00DD67CE"/>
    <w:rsid w:val="00DD7D99"/>
    <w:rsid w:val="00DF2079"/>
    <w:rsid w:val="00DF3D9D"/>
    <w:rsid w:val="00E00C1C"/>
    <w:rsid w:val="00E041CE"/>
    <w:rsid w:val="00E12939"/>
    <w:rsid w:val="00E1310B"/>
    <w:rsid w:val="00E160F9"/>
    <w:rsid w:val="00E17AC9"/>
    <w:rsid w:val="00E2124C"/>
    <w:rsid w:val="00E22472"/>
    <w:rsid w:val="00E230D9"/>
    <w:rsid w:val="00E43146"/>
    <w:rsid w:val="00E43359"/>
    <w:rsid w:val="00E454AB"/>
    <w:rsid w:val="00E679E1"/>
    <w:rsid w:val="00E804EF"/>
    <w:rsid w:val="00E876A6"/>
    <w:rsid w:val="00EA15E7"/>
    <w:rsid w:val="00EB0F1B"/>
    <w:rsid w:val="00EB6E55"/>
    <w:rsid w:val="00EC4F04"/>
    <w:rsid w:val="00EE134B"/>
    <w:rsid w:val="00F01060"/>
    <w:rsid w:val="00F02366"/>
    <w:rsid w:val="00F11659"/>
    <w:rsid w:val="00F168F1"/>
    <w:rsid w:val="00F251AC"/>
    <w:rsid w:val="00F2611C"/>
    <w:rsid w:val="00F60856"/>
    <w:rsid w:val="00F713C4"/>
    <w:rsid w:val="00F76F83"/>
    <w:rsid w:val="00F80042"/>
    <w:rsid w:val="00F94B86"/>
    <w:rsid w:val="00F9503D"/>
    <w:rsid w:val="00FC3253"/>
    <w:rsid w:val="00FC5228"/>
    <w:rsid w:val="00FD042E"/>
    <w:rsid w:val="00FD31AB"/>
    <w:rsid w:val="00FD7251"/>
    <w:rsid w:val="00FE7CC4"/>
    <w:rsid w:val="00FF27E7"/>
    <w:rsid w:val="04062E0E"/>
    <w:rsid w:val="07424CE5"/>
    <w:rsid w:val="0E6A46D2"/>
    <w:rsid w:val="10DA4D5E"/>
    <w:rsid w:val="156E4815"/>
    <w:rsid w:val="19411027"/>
    <w:rsid w:val="1AB02837"/>
    <w:rsid w:val="21D96333"/>
    <w:rsid w:val="227E2E73"/>
    <w:rsid w:val="242C3C7F"/>
    <w:rsid w:val="287A0545"/>
    <w:rsid w:val="2C2139D2"/>
    <w:rsid w:val="2D65543B"/>
    <w:rsid w:val="2FA20B7E"/>
    <w:rsid w:val="3D095B09"/>
    <w:rsid w:val="3D6F1DE9"/>
    <w:rsid w:val="40435681"/>
    <w:rsid w:val="40845993"/>
    <w:rsid w:val="46D6135B"/>
    <w:rsid w:val="471338C7"/>
    <w:rsid w:val="48B4226E"/>
    <w:rsid w:val="498B571A"/>
    <w:rsid w:val="4AE11787"/>
    <w:rsid w:val="4DF00C86"/>
    <w:rsid w:val="502F7F55"/>
    <w:rsid w:val="52DD457D"/>
    <w:rsid w:val="55A6769E"/>
    <w:rsid w:val="5EEE2DF9"/>
    <w:rsid w:val="63171E94"/>
    <w:rsid w:val="67EE0CD5"/>
    <w:rsid w:val="6CF31EBE"/>
    <w:rsid w:val="7AE74C06"/>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semiHidden="0"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lock Text"/>
    <w:basedOn w:val="1"/>
    <w:unhideWhenUsed/>
    <w:uiPriority w:val="99"/>
    <w:pPr>
      <w:ind w:left="1440" w:leftChars="700" w:right="700" w:rightChars="700"/>
    </w:pPr>
  </w:style>
  <w:style w:type="paragraph" w:styleId="3">
    <w:name w:val="footer"/>
    <w:basedOn w:val="1"/>
    <w:link w:val="9"/>
    <w:qFormat/>
    <w:uiPriority w:val="99"/>
    <w:pPr>
      <w:tabs>
        <w:tab w:val="center" w:pos="4153"/>
        <w:tab w:val="right" w:pos="8306"/>
      </w:tabs>
      <w:snapToGrid w:val="0"/>
      <w:jc w:val="left"/>
    </w:pPr>
    <w:rPr>
      <w:kern w:val="0"/>
      <w:sz w:val="18"/>
      <w:szCs w:val="18"/>
    </w:rPr>
  </w:style>
  <w:style w:type="paragraph" w:styleId="4">
    <w:name w:val="header"/>
    <w:basedOn w:val="1"/>
    <w:link w:val="8"/>
    <w:qFormat/>
    <w:uiPriority w:val="99"/>
    <w:pPr>
      <w:pBdr>
        <w:bottom w:val="single" w:color="auto" w:sz="6" w:space="1"/>
      </w:pBdr>
      <w:tabs>
        <w:tab w:val="center" w:pos="4153"/>
        <w:tab w:val="right" w:pos="8306"/>
      </w:tabs>
      <w:snapToGrid w:val="0"/>
      <w:jc w:val="center"/>
    </w:pPr>
    <w:rPr>
      <w:kern w:val="0"/>
      <w:sz w:val="18"/>
      <w:szCs w:val="18"/>
    </w:rPr>
  </w:style>
  <w:style w:type="character" w:styleId="7">
    <w:name w:val="page number"/>
    <w:qFormat/>
    <w:uiPriority w:val="99"/>
    <w:rPr>
      <w:rFonts w:cs="Times New Roman"/>
    </w:rPr>
  </w:style>
  <w:style w:type="character" w:customStyle="1" w:styleId="8">
    <w:name w:val="页眉 Char"/>
    <w:link w:val="4"/>
    <w:semiHidden/>
    <w:qFormat/>
    <w:locked/>
    <w:uiPriority w:val="99"/>
    <w:rPr>
      <w:rFonts w:ascii="Times New Roman" w:hAnsi="Times New Roman" w:eastAsia="宋体" w:cs="Times New Roman"/>
      <w:sz w:val="18"/>
      <w:szCs w:val="18"/>
    </w:rPr>
  </w:style>
  <w:style w:type="character" w:customStyle="1" w:styleId="9">
    <w:name w:val="页脚 Char"/>
    <w:link w:val="3"/>
    <w:semiHidden/>
    <w:qFormat/>
    <w:locked/>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8</Pages>
  <Words>3617</Words>
  <Characters>3778</Characters>
  <Lines>4</Lines>
  <Paragraphs>1</Paragraphs>
  <TotalTime>4</TotalTime>
  <ScaleCrop>false</ScaleCrop>
  <LinksUpToDate>false</LinksUpToDate>
  <CharactersWithSpaces>4052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2018-04-27T03:07:00Z</dcterms:created>
  <dc:creator>Custmor</dc:creator>
  <cp:lastModifiedBy>凉拌明玉子</cp:lastModifiedBy>
  <cp:lastPrinted>2024-01-29T11:47:00Z</cp:lastPrinted>
  <dcterms:modified xsi:type="dcterms:W3CDTF">2025-12-25T06:31:36Z</dcterms:modified>
  <cp:revision>266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7D48D9E49520418BA944A06B95F90A37</vt:lpwstr>
  </property>
  <property fmtid="{D5CDD505-2E9C-101B-9397-08002B2CF9AE}" pid="4" name="KSOTemplateDocerSaveRecord">
    <vt:lpwstr>eyJoZGlkIjoiNzMzNGFhYTQwZDVjNjVmMDFlMTAxYjIwOTljNDhhZWQiLCJ1c2VySWQiOiIyMDEzOTMzNTkifQ==</vt:lpwstr>
  </property>
</Properties>
</file>