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D4A8B">
      <w:pPr>
        <w:spacing w:line="600" w:lineRule="exact"/>
        <w:rPr>
          <w:rFonts w:ascii="仿宋_GB2312" w:eastAsia="仿宋_GB2312"/>
          <w:sz w:val="32"/>
          <w:szCs w:val="32"/>
        </w:rPr>
      </w:pPr>
      <w:bookmarkStart w:id="2" w:name="_GoBack"/>
      <w:bookmarkEnd w:id="2"/>
    </w:p>
    <w:p w14:paraId="14F82716">
      <w:pPr>
        <w:widowControl/>
        <w:spacing w:line="330" w:lineRule="atLeast"/>
        <w:jc w:val="center"/>
        <w:rPr>
          <w:rFonts w:hint="eastAsia" w:cs="仿宋" w:asciiTheme="minorEastAsia" w:hAnsiTheme="minorEastAsia" w:eastAsiaTheme="minorEastAsia"/>
          <w:b/>
          <w:bCs/>
          <w:sz w:val="36"/>
          <w:szCs w:val="36"/>
          <w:lang w:val="en-US" w:eastAsia="zh-CN"/>
        </w:rPr>
      </w:pPr>
      <w:r>
        <w:rPr>
          <w:rFonts w:hint="eastAsia" w:cs="仿宋" w:asciiTheme="minorEastAsia" w:hAnsiTheme="minorEastAsia" w:eastAsiaTheme="minorEastAsia"/>
          <w:b/>
          <w:bCs/>
          <w:sz w:val="36"/>
          <w:szCs w:val="36"/>
        </w:rPr>
        <w:t>大连高新技术产业</w:t>
      </w:r>
      <w:r>
        <w:rPr>
          <w:rFonts w:hint="eastAsia" w:cs="仿宋" w:asciiTheme="minorEastAsia" w:hAnsiTheme="minorEastAsia" w:eastAsiaTheme="minorEastAsia"/>
          <w:b/>
          <w:bCs/>
          <w:sz w:val="36"/>
          <w:szCs w:val="36"/>
          <w:lang w:val="en-US" w:eastAsia="zh-CN"/>
        </w:rPr>
        <w:t>大数据中心</w:t>
      </w:r>
    </w:p>
    <w:p w14:paraId="1D1C4C23">
      <w:pPr>
        <w:widowControl/>
        <w:spacing w:line="330" w:lineRule="atLeast"/>
        <w:jc w:val="center"/>
        <w:rPr>
          <w:rFonts w:asciiTheme="minorEastAsia" w:hAnsiTheme="minorEastAsia" w:eastAsiaTheme="minorEastAsia"/>
          <w:b/>
          <w:bCs/>
          <w:sz w:val="36"/>
          <w:szCs w:val="36"/>
        </w:rPr>
      </w:pPr>
      <w:r>
        <w:rPr>
          <w:rFonts w:hint="eastAsia" w:cs="仿宋" w:asciiTheme="minorEastAsia" w:hAnsiTheme="minorEastAsia" w:eastAsiaTheme="minorEastAsia"/>
          <w:b/>
          <w:bCs/>
          <w:sz w:val="36"/>
          <w:szCs w:val="36"/>
        </w:rPr>
        <w:t>20</w:t>
      </w:r>
      <w:r>
        <w:rPr>
          <w:rFonts w:hint="eastAsia" w:cs="仿宋" w:asciiTheme="minorEastAsia" w:hAnsiTheme="minorEastAsia" w:eastAsiaTheme="minorEastAsia"/>
          <w:b/>
          <w:bCs/>
          <w:sz w:val="36"/>
          <w:szCs w:val="36"/>
          <w:lang w:val="en-US" w:eastAsia="zh-CN"/>
        </w:rPr>
        <w:t>24</w:t>
      </w:r>
      <w:r>
        <w:rPr>
          <w:rFonts w:hint="eastAsia" w:cs="仿宋" w:asciiTheme="minorEastAsia" w:hAnsiTheme="minorEastAsia" w:eastAsiaTheme="minorEastAsia"/>
          <w:b/>
          <w:bCs/>
          <w:color w:val="000000"/>
          <w:kern w:val="0"/>
          <w:sz w:val="36"/>
          <w:szCs w:val="36"/>
        </w:rPr>
        <w:t>年部门预算</w:t>
      </w:r>
    </w:p>
    <w:p w14:paraId="0D568B87">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0E0BF8D2">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30AF0A90">
      <w:pPr>
        <w:keepNext w:val="0"/>
        <w:keepLines w:val="0"/>
        <w:pageBreakBefore w:val="0"/>
        <w:widowControl/>
        <w:numPr>
          <w:ilvl w:val="0"/>
          <w:numId w:val="1"/>
        </w:numPr>
        <w:kinsoku/>
        <w:wordWrap/>
        <w:overflowPunct/>
        <w:topLinePunct w:val="0"/>
        <w:autoSpaceDE/>
        <w:autoSpaceDN/>
        <w:bidi w:val="0"/>
        <w:adjustRightInd/>
        <w:spacing w:line="560" w:lineRule="exact"/>
        <w:jc w:val="left"/>
        <w:textAlignment w:val="auto"/>
        <w:rPr>
          <w:rFonts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主要职责</w:t>
      </w:r>
    </w:p>
    <w:p w14:paraId="1B8FBDFA">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（一）为营商环境建设局提供支持和服务保障。</w:t>
      </w:r>
    </w:p>
    <w:p w14:paraId="702918FB">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（二）协助营商环境建设局开展营商环境建设、督查考核、大数据管理、网格管理等工作。</w:t>
      </w:r>
    </w:p>
    <w:p w14:paraId="50335977">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三）负责统筹构建全区统一的政务信息系统框架体系，开展全区政务信息化项目前期指导、立项审核、预算申报、竣工验收、监督评价等工作，统筹全区综合性政务信息化项目的组织建设；负责为全区政务信息化、智慧城区建设提供技术保障服务。</w:t>
      </w:r>
    </w:p>
    <w:p w14:paraId="443B690F">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四）负责全区电子政务基础设施、政务信息系统、政务信息资源的网络和信息安全工作；开展全区电子政务外网及内部网络、容灾备份系统、云平台等电子政务基础设施建设管理、运行维护、集约利用、监督考评工作。</w:t>
      </w:r>
    </w:p>
    <w:p w14:paraId="41F3CB10">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（五）协助营商环境建设局开展全区行政效能监测工作；协助开展政务服务中心运行管理和安全保卫工作；协助开展对进驻区政务服务中心审批服务事项的组织协调、监督管理和指导服务工作。</w:t>
      </w:r>
    </w:p>
    <w:p w14:paraId="2B638763">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六）负责《权责清单》《政务服务事项目录》等有关审批事项清单的编制、动态调整、统计上报工作；负责指导、监督、审核区各相关单位省事项库维护工作；负责省政务服务信息管理系统信息维护工作；负责开展审批服务事项流程优化、政务服务和行政审批标准化建设工作；负责贯彻落实《全国政务服务一体化平台运行管理办法》相关工作；负责政务服务“好差评”管理工作；负责统计上报高新区“一网通办”相关业务数据；负责政务服务信息宣传；按分工做好“互联网+政务”建设推进工作。</w:t>
      </w:r>
    </w:p>
    <w:p w14:paraId="04B1E030">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（七）负责分拨、办理、督办省市12345平台、人民网领导 留言板、“互联网+督查”等平台反映的问题；受、办理营商环境相关投诉、举报，协助和配合有关部门查处营商环境建设违法违规行为；协助营商环境建设局统筹、监督、检查诉求办理工作机制的运行，协助提出诉求办理工作的绩效考核意见。</w:t>
      </w:r>
    </w:p>
    <w:p w14:paraId="60205BA2">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（八）负责组织“先予处置”事项的现场研判工作；负责组织“先予处置”事项的联合验收工作。</w:t>
      </w:r>
    </w:p>
    <w:p w14:paraId="043E03EF">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九）负责统筹、安排、部署区网格化综合治理平台系统的运行管理；负责制定网格化综合管理平台系统的运行机制，负责对街道网格管理办公室进行业务指导、监督督办；负责对重要网格事件进行反馈报告、跟踪督办；协助区基层社会治理领导小组办公室对街道网格管理办公室及社区网格员进行考核评估、业务培训等工作。</w:t>
      </w:r>
    </w:p>
    <w:p w14:paraId="40EEAC5B">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（十）负责为督查考核工作提供保障和支撑，协助开展督查督办和绩效考核工作。</w:t>
      </w:r>
    </w:p>
    <w:p w14:paraId="004080FB">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rPr>
        <w:t>（十一）承担营商局交办的其他工作。</w:t>
      </w:r>
    </w:p>
    <w:p w14:paraId="7351924E">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二、部门预算单位构成</w:t>
      </w:r>
    </w:p>
    <w:p w14:paraId="577F87F0">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w:t>
      </w:r>
      <w:r>
        <w:rPr>
          <w:rFonts w:hint="eastAsia" w:ascii="仿宋" w:hAnsi="仿宋" w:eastAsia="仿宋" w:cs="仿宋"/>
          <w:sz w:val="30"/>
          <w:szCs w:val="30"/>
          <w:lang w:val="en-US"/>
        </w:rPr>
        <w:t>大连高新技术产业园区大数据中心</w:t>
      </w:r>
      <w:r>
        <w:rPr>
          <w:rFonts w:hint="eastAsia" w:ascii="仿宋" w:hAnsi="仿宋" w:eastAsia="仿宋" w:cs="仿宋"/>
          <w:sz w:val="30"/>
          <w:szCs w:val="30"/>
          <w:lang w:val="en-US" w:eastAsia="zh-CN"/>
        </w:rPr>
        <w:t>部门预算为本部门综合收支计划，无二级单位。</w:t>
      </w:r>
    </w:p>
    <w:p w14:paraId="454230B2">
      <w:pPr>
        <w:pStyle w:val="2"/>
        <w:rPr>
          <w:rFonts w:hint="default"/>
          <w:lang w:val="en-US" w:eastAsia="zh-CN"/>
        </w:rPr>
      </w:pPr>
    </w:p>
    <w:p w14:paraId="152390FC">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78EBCC5B">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b w:val="0"/>
          <w:bCs w:val="0"/>
          <w:color w:val="000000"/>
          <w:sz w:val="30"/>
          <w:szCs w:val="30"/>
        </w:rPr>
      </w:pPr>
      <w:r>
        <w:rPr>
          <w:rFonts w:hint="eastAsia" w:ascii="仿宋" w:hAnsi="仿宋" w:eastAsia="仿宋" w:cs="仿宋"/>
          <w:b w:val="0"/>
          <w:bCs w:val="0"/>
          <w:color w:val="000000"/>
          <w:kern w:val="0"/>
          <w:sz w:val="30"/>
          <w:szCs w:val="30"/>
        </w:rPr>
        <w:t>一、总体说明</w:t>
      </w:r>
    </w:p>
    <w:p w14:paraId="19F198AD">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rPr>
        <w:t>按照综合预算的原则，本部门所有收入和支出均纳入部门预算管理，无下级预算单位。收入包括：财政拨款收入</w:t>
      </w:r>
      <w:r>
        <w:rPr>
          <w:rFonts w:hint="eastAsia" w:ascii="仿宋" w:hAnsi="仿宋" w:eastAsia="仿宋" w:cs="仿宋"/>
          <w:b w:val="0"/>
          <w:bCs w:val="0"/>
          <w:color w:val="000000"/>
          <w:kern w:val="0"/>
          <w:sz w:val="30"/>
          <w:szCs w:val="30"/>
          <w:lang w:val="en-US" w:eastAsia="zh-CN"/>
        </w:rPr>
        <w:t>475.16</w:t>
      </w:r>
      <w:r>
        <w:rPr>
          <w:rFonts w:hint="eastAsia" w:ascii="仿宋" w:hAnsi="仿宋" w:eastAsia="仿宋" w:cs="仿宋"/>
          <w:b w:val="0"/>
          <w:bCs w:val="0"/>
          <w:color w:val="000000"/>
          <w:kern w:val="0"/>
          <w:sz w:val="30"/>
          <w:szCs w:val="30"/>
        </w:rPr>
        <w:t>万元；支出包括：</w:t>
      </w:r>
      <w:bookmarkStart w:id="0" w:name="OLE_LINK102"/>
      <w:bookmarkStart w:id="1" w:name="OLE_LINK101"/>
      <w:r>
        <w:rPr>
          <w:rFonts w:hint="eastAsia" w:ascii="仿宋" w:hAnsi="仿宋" w:eastAsia="仿宋" w:cs="仿宋"/>
          <w:b w:val="0"/>
          <w:bCs w:val="0"/>
          <w:color w:val="000000"/>
          <w:kern w:val="0"/>
          <w:sz w:val="30"/>
          <w:szCs w:val="30"/>
        </w:rPr>
        <w:t>工资福利和对个人家庭补助支出</w:t>
      </w:r>
      <w:r>
        <w:rPr>
          <w:rFonts w:hint="eastAsia" w:ascii="仿宋" w:hAnsi="仿宋" w:eastAsia="仿宋" w:cs="仿宋"/>
          <w:b w:val="0"/>
          <w:bCs w:val="0"/>
          <w:color w:val="000000"/>
          <w:kern w:val="0"/>
          <w:sz w:val="30"/>
          <w:szCs w:val="30"/>
          <w:lang w:val="en-US" w:eastAsia="zh-CN"/>
        </w:rPr>
        <w:t>350.41</w:t>
      </w:r>
      <w:r>
        <w:rPr>
          <w:rFonts w:hint="eastAsia" w:ascii="仿宋" w:hAnsi="仿宋" w:eastAsia="仿宋" w:cs="仿宋"/>
          <w:b w:val="0"/>
          <w:bCs w:val="0"/>
          <w:color w:val="000000"/>
          <w:kern w:val="0"/>
          <w:sz w:val="30"/>
          <w:szCs w:val="30"/>
        </w:rPr>
        <w:t>万元</w:t>
      </w:r>
      <w:bookmarkEnd w:id="0"/>
      <w:bookmarkEnd w:id="1"/>
      <w:r>
        <w:rPr>
          <w:rFonts w:hint="eastAsia" w:ascii="仿宋" w:hAnsi="仿宋" w:eastAsia="仿宋" w:cs="仿宋"/>
          <w:b w:val="0"/>
          <w:bCs w:val="0"/>
          <w:color w:val="000000"/>
          <w:kern w:val="0"/>
          <w:sz w:val="30"/>
          <w:szCs w:val="30"/>
        </w:rPr>
        <w:t>，商品和服务支出</w:t>
      </w:r>
      <w:r>
        <w:rPr>
          <w:rFonts w:hint="eastAsia" w:ascii="仿宋" w:hAnsi="仿宋" w:eastAsia="仿宋" w:cs="仿宋"/>
          <w:b w:val="0"/>
          <w:bCs w:val="0"/>
          <w:color w:val="000000"/>
          <w:kern w:val="0"/>
          <w:sz w:val="30"/>
          <w:szCs w:val="30"/>
          <w:lang w:val="en-US" w:eastAsia="zh-CN"/>
        </w:rPr>
        <w:t>125.28</w:t>
      </w:r>
      <w:r>
        <w:rPr>
          <w:rFonts w:hint="eastAsia" w:ascii="仿宋" w:hAnsi="仿宋" w:eastAsia="仿宋" w:cs="仿宋"/>
          <w:b w:val="0"/>
          <w:bCs w:val="0"/>
          <w:color w:val="000000"/>
          <w:kern w:val="0"/>
          <w:sz w:val="30"/>
          <w:szCs w:val="30"/>
        </w:rPr>
        <w:t>万元。全部为一般公共预算，无政府性基金预算收支，无国有资本经营预算收支。比202</w:t>
      </w:r>
      <w:r>
        <w:rPr>
          <w:rFonts w:hint="eastAsia" w:ascii="仿宋" w:hAnsi="仿宋" w:eastAsia="仿宋" w:cs="仿宋"/>
          <w:b w:val="0"/>
          <w:bCs w:val="0"/>
          <w:color w:val="000000"/>
          <w:kern w:val="0"/>
          <w:sz w:val="30"/>
          <w:szCs w:val="30"/>
          <w:lang w:val="en-US" w:eastAsia="zh-CN"/>
        </w:rPr>
        <w:t>3</w:t>
      </w:r>
      <w:r>
        <w:rPr>
          <w:rFonts w:hint="eastAsia" w:ascii="仿宋" w:hAnsi="仿宋" w:eastAsia="仿宋" w:cs="仿宋"/>
          <w:b w:val="0"/>
          <w:bCs w:val="0"/>
          <w:color w:val="000000"/>
          <w:kern w:val="0"/>
          <w:sz w:val="30"/>
          <w:szCs w:val="30"/>
        </w:rPr>
        <w:t>年预算数</w:t>
      </w:r>
      <w:r>
        <w:rPr>
          <w:rFonts w:hint="eastAsia" w:ascii="仿宋" w:hAnsi="仿宋" w:eastAsia="仿宋" w:cs="仿宋"/>
          <w:b w:val="0"/>
          <w:bCs w:val="0"/>
          <w:color w:val="000000"/>
          <w:kern w:val="0"/>
          <w:sz w:val="30"/>
          <w:szCs w:val="30"/>
          <w:lang w:eastAsia="zh-CN"/>
        </w:rPr>
        <w:t>增加</w:t>
      </w:r>
      <w:r>
        <w:rPr>
          <w:rFonts w:hint="eastAsia" w:ascii="仿宋" w:hAnsi="仿宋" w:eastAsia="仿宋" w:cs="仿宋"/>
          <w:b w:val="0"/>
          <w:bCs w:val="0"/>
          <w:color w:val="000000"/>
          <w:kern w:val="0"/>
          <w:sz w:val="30"/>
          <w:szCs w:val="30"/>
          <w:lang w:val="en-US" w:eastAsia="zh-CN"/>
        </w:rPr>
        <w:t>64.82万元，其中工资福利和对个人家庭补助支出增加65.98万元，商品和服务支出增加0.63万元。</w:t>
      </w:r>
    </w:p>
    <w:p w14:paraId="30AA85A0">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b w:val="0"/>
          <w:bCs w:val="0"/>
          <w:color w:val="000000"/>
          <w:sz w:val="30"/>
          <w:szCs w:val="30"/>
        </w:rPr>
      </w:pPr>
      <w:r>
        <w:rPr>
          <w:rFonts w:hint="eastAsia" w:ascii="仿宋" w:hAnsi="仿宋" w:eastAsia="仿宋" w:cs="仿宋"/>
          <w:b w:val="0"/>
          <w:bCs w:val="0"/>
          <w:color w:val="000000"/>
          <w:kern w:val="0"/>
          <w:sz w:val="30"/>
          <w:szCs w:val="30"/>
        </w:rPr>
        <w:t>二、“三公”经费预算情况说明</w:t>
      </w:r>
    </w:p>
    <w:p w14:paraId="49AF9B8A">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2024年，</w:t>
      </w:r>
      <w:r>
        <w:rPr>
          <w:rFonts w:hint="eastAsia" w:ascii="仿宋" w:hAnsi="仿宋" w:eastAsia="仿宋"/>
          <w:b w:val="0"/>
          <w:bCs w:val="0"/>
          <w:sz w:val="30"/>
          <w:szCs w:val="30"/>
          <w:lang w:val="en-US" w:eastAsia="zh-CN"/>
        </w:rPr>
        <w:t>本部门</w:t>
      </w:r>
      <w:r>
        <w:rPr>
          <w:rFonts w:hint="eastAsia" w:ascii="仿宋" w:hAnsi="仿宋" w:eastAsia="仿宋" w:cs="仿宋"/>
          <w:b w:val="0"/>
          <w:bCs w:val="0"/>
          <w:color w:val="000000"/>
          <w:kern w:val="0"/>
          <w:sz w:val="30"/>
          <w:szCs w:val="30"/>
          <w:lang w:val="en-US" w:eastAsia="zh-CN"/>
        </w:rPr>
        <w:t>无“三公”经费支出。主要是按照中央及市委、市政府关于厉行节约、改进工作作风、密切联系群众中央八项规定等有关要求，严格控制“三公”经费支出。</w:t>
      </w:r>
    </w:p>
    <w:p w14:paraId="1BEBAC85">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b w:val="0"/>
          <w:bCs w:val="0"/>
          <w:color w:val="000000"/>
          <w:sz w:val="30"/>
          <w:szCs w:val="30"/>
        </w:rPr>
      </w:pPr>
      <w:r>
        <w:rPr>
          <w:rFonts w:hint="eastAsia" w:ascii="仿宋" w:hAnsi="仿宋" w:eastAsia="仿宋" w:cs="仿宋"/>
          <w:b w:val="0"/>
          <w:bCs w:val="0"/>
          <w:color w:val="000000"/>
          <w:kern w:val="0"/>
          <w:sz w:val="30"/>
          <w:szCs w:val="30"/>
        </w:rPr>
        <w:t>三、</w:t>
      </w:r>
      <w:r>
        <w:rPr>
          <w:rFonts w:hint="eastAsia" w:ascii="仿宋" w:hAnsi="仿宋" w:eastAsia="仿宋" w:cs="仿宋"/>
          <w:b w:val="0"/>
          <w:bCs w:val="0"/>
          <w:color w:val="000000"/>
          <w:kern w:val="0"/>
          <w:sz w:val="30"/>
          <w:szCs w:val="30"/>
          <w:lang w:val="en-US" w:eastAsia="zh-CN"/>
        </w:rPr>
        <w:t>机关</w:t>
      </w:r>
      <w:r>
        <w:rPr>
          <w:rFonts w:hint="eastAsia" w:ascii="仿宋" w:hAnsi="仿宋" w:eastAsia="仿宋" w:cs="仿宋"/>
          <w:b w:val="0"/>
          <w:bCs w:val="0"/>
          <w:color w:val="000000"/>
          <w:kern w:val="0"/>
          <w:sz w:val="30"/>
          <w:szCs w:val="30"/>
        </w:rPr>
        <w:t>运行经费安排情况说明</w:t>
      </w:r>
    </w:p>
    <w:p w14:paraId="172E4449">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Verdana"/>
          <w:b w:val="0"/>
          <w:bCs w:val="0"/>
          <w:color w:val="000000"/>
          <w:kern w:val="0"/>
          <w:sz w:val="30"/>
          <w:szCs w:val="30"/>
        </w:rPr>
      </w:pPr>
      <w:r>
        <w:rPr>
          <w:rFonts w:hint="eastAsia" w:ascii="仿宋" w:hAnsi="仿宋" w:eastAsia="仿宋"/>
          <w:b w:val="0"/>
          <w:bCs w:val="0"/>
          <w:sz w:val="30"/>
          <w:szCs w:val="30"/>
          <w:lang w:val="en-US" w:eastAsia="zh-CN"/>
        </w:rPr>
        <w:t>2024年，本部门机关</w:t>
      </w:r>
      <w:r>
        <w:rPr>
          <w:rFonts w:hint="eastAsia" w:ascii="仿宋" w:hAnsi="仿宋" w:eastAsia="仿宋" w:cs="Verdana"/>
          <w:b w:val="0"/>
          <w:bCs w:val="0"/>
          <w:color w:val="000000"/>
          <w:kern w:val="0"/>
          <w:sz w:val="30"/>
          <w:szCs w:val="30"/>
        </w:rPr>
        <w:t>运行经费包括定额公用经费</w:t>
      </w:r>
      <w:r>
        <w:rPr>
          <w:rFonts w:hint="eastAsia" w:ascii="仿宋" w:hAnsi="仿宋" w:eastAsia="仿宋" w:cs="Verdana"/>
          <w:b w:val="0"/>
          <w:bCs w:val="0"/>
          <w:color w:val="000000"/>
          <w:kern w:val="0"/>
          <w:sz w:val="30"/>
          <w:szCs w:val="30"/>
          <w:lang w:val="en-US" w:eastAsia="zh-CN"/>
        </w:rPr>
        <w:t>15.28</w:t>
      </w:r>
      <w:r>
        <w:rPr>
          <w:rFonts w:hint="eastAsia" w:ascii="仿宋" w:hAnsi="仿宋" w:eastAsia="仿宋" w:cs="Verdana"/>
          <w:b w:val="0"/>
          <w:bCs w:val="0"/>
          <w:color w:val="000000"/>
          <w:kern w:val="0"/>
          <w:sz w:val="30"/>
          <w:szCs w:val="30"/>
        </w:rPr>
        <w:t>万元。</w:t>
      </w:r>
    </w:p>
    <w:p w14:paraId="3496B178">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b w:val="0"/>
          <w:bCs w:val="0"/>
          <w:color w:val="000000"/>
          <w:sz w:val="30"/>
          <w:szCs w:val="30"/>
        </w:rPr>
      </w:pPr>
      <w:r>
        <w:rPr>
          <w:rFonts w:hint="eastAsia" w:ascii="仿宋" w:hAnsi="仿宋" w:eastAsia="仿宋" w:cs="仿宋"/>
          <w:b w:val="0"/>
          <w:bCs w:val="0"/>
          <w:color w:val="000000"/>
          <w:kern w:val="0"/>
          <w:sz w:val="30"/>
          <w:szCs w:val="30"/>
        </w:rPr>
        <w:t>四、政府采购情况说明</w:t>
      </w:r>
    </w:p>
    <w:p w14:paraId="59089C62">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2025年，</w:t>
      </w:r>
      <w:r>
        <w:rPr>
          <w:rFonts w:hint="eastAsia" w:ascii="仿宋" w:hAnsi="仿宋" w:eastAsia="仿宋"/>
          <w:b w:val="0"/>
          <w:bCs w:val="0"/>
          <w:sz w:val="30"/>
          <w:szCs w:val="30"/>
          <w:lang w:val="en-US" w:eastAsia="zh-CN"/>
        </w:rPr>
        <w:t>本部门</w:t>
      </w:r>
      <w:r>
        <w:rPr>
          <w:rFonts w:hint="eastAsia" w:ascii="仿宋" w:hAnsi="仿宋" w:eastAsia="仿宋" w:cs="仿宋"/>
          <w:b w:val="0"/>
          <w:bCs w:val="0"/>
          <w:color w:val="000000"/>
          <w:kern w:val="0"/>
          <w:sz w:val="30"/>
          <w:szCs w:val="30"/>
          <w:lang w:val="en-US" w:eastAsia="zh-CN"/>
        </w:rPr>
        <w:t>无政府采购项目。</w:t>
      </w:r>
    </w:p>
    <w:p w14:paraId="6CD2EC60">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五、政府性基金收支预算情况</w:t>
      </w:r>
    </w:p>
    <w:p w14:paraId="02B2F0BF">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2025年，</w:t>
      </w:r>
      <w:r>
        <w:rPr>
          <w:rFonts w:hint="eastAsia" w:ascii="仿宋" w:hAnsi="仿宋" w:eastAsia="仿宋"/>
          <w:b w:val="0"/>
          <w:bCs w:val="0"/>
          <w:sz w:val="30"/>
          <w:szCs w:val="30"/>
          <w:lang w:val="en-US" w:eastAsia="zh-CN"/>
        </w:rPr>
        <w:t>本部门</w:t>
      </w:r>
      <w:r>
        <w:rPr>
          <w:rFonts w:hint="eastAsia" w:ascii="仿宋" w:hAnsi="仿宋" w:eastAsia="仿宋" w:cs="仿宋"/>
          <w:b w:val="0"/>
          <w:bCs w:val="0"/>
          <w:color w:val="000000"/>
          <w:kern w:val="0"/>
          <w:sz w:val="30"/>
          <w:szCs w:val="30"/>
          <w:lang w:val="en-US" w:eastAsia="zh-CN"/>
        </w:rPr>
        <w:t>无政府性基金收支预算。</w:t>
      </w:r>
    </w:p>
    <w:p w14:paraId="7EFBA2F6">
      <w:pPr>
        <w:keepNext w:val="0"/>
        <w:keepLines w:val="0"/>
        <w:pageBreakBefore w:val="0"/>
        <w:kinsoku/>
        <w:wordWrap/>
        <w:overflowPunct/>
        <w:topLinePunct w:val="0"/>
        <w:autoSpaceDE/>
        <w:autoSpaceDN/>
        <w:bidi w:val="0"/>
        <w:adjustRightInd/>
        <w:spacing w:line="560" w:lineRule="exact"/>
        <w:ind w:firstLine="600" w:firstLineChars="200"/>
        <w:textAlignment w:val="auto"/>
        <w:rPr>
          <w:rFonts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六、国有资产占有使用情况说明</w:t>
      </w:r>
    </w:p>
    <w:p w14:paraId="01731B92">
      <w:pPr>
        <w:keepNext w:val="0"/>
        <w:keepLines w:val="0"/>
        <w:pageBreakBefore w:val="0"/>
        <w:kinsoku/>
        <w:wordWrap/>
        <w:overflowPunct/>
        <w:topLinePunct w:val="0"/>
        <w:autoSpaceDE/>
        <w:autoSpaceDN/>
        <w:bidi w:val="0"/>
        <w:adjustRightInd/>
        <w:spacing w:line="560" w:lineRule="exact"/>
        <w:ind w:firstLine="600" w:firstLineChars="200"/>
        <w:textAlignment w:val="auto"/>
        <w:rPr>
          <w:rFonts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国有资产占有使用情况说明为：截至20</w:t>
      </w:r>
      <w:r>
        <w:rPr>
          <w:rFonts w:hint="eastAsia" w:ascii="仿宋" w:hAnsi="仿宋" w:eastAsia="仿宋" w:cs="仿宋"/>
          <w:b w:val="0"/>
          <w:bCs w:val="0"/>
          <w:color w:val="auto"/>
          <w:kern w:val="0"/>
          <w:sz w:val="30"/>
          <w:szCs w:val="30"/>
          <w:lang w:val="en-US" w:eastAsia="zh-CN"/>
        </w:rPr>
        <w:t>23</w:t>
      </w:r>
      <w:r>
        <w:rPr>
          <w:rFonts w:hint="eastAsia" w:ascii="仿宋" w:hAnsi="仿宋" w:eastAsia="仿宋" w:cs="仿宋"/>
          <w:b w:val="0"/>
          <w:bCs w:val="0"/>
          <w:color w:val="auto"/>
          <w:kern w:val="0"/>
          <w:sz w:val="30"/>
          <w:szCs w:val="30"/>
        </w:rPr>
        <w:t>年12月31日，部门（单位）共有车辆0辆；单位价值50万元（含）以上通用设备0台（套）；单位价值100万元以上专用设备0台（套）。</w:t>
      </w:r>
    </w:p>
    <w:p w14:paraId="721F0DC5">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七、预算绩效管理情况</w:t>
      </w:r>
    </w:p>
    <w:p w14:paraId="073728FD">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2024年，按照“先有绩效，后有预算”原则，本部门共计</w:t>
      </w:r>
      <w:r>
        <w:rPr>
          <w:rFonts w:hint="eastAsia" w:ascii="仿宋" w:hAnsi="仿宋" w:eastAsia="仿宋" w:cs="仿宋"/>
          <w:kern w:val="0"/>
          <w:sz w:val="30"/>
          <w:szCs w:val="30"/>
          <w:highlight w:val="none"/>
          <w:lang w:val="en-US" w:eastAsia="zh-CN"/>
        </w:rPr>
        <w:t>编制绩效目标1个，</w:t>
      </w:r>
      <w:r>
        <w:rPr>
          <w:rFonts w:hint="eastAsia" w:ascii="仿宋" w:hAnsi="仿宋" w:eastAsia="仿宋" w:cs="仿宋"/>
          <w:kern w:val="0"/>
          <w:sz w:val="30"/>
          <w:szCs w:val="30"/>
          <w:lang w:val="en-US" w:eastAsia="zh-CN"/>
        </w:rPr>
        <w:t>预算金额110万元，占项目支出预算比重100%。</w:t>
      </w:r>
    </w:p>
    <w:p w14:paraId="08B4AF07">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b w:val="0"/>
          <w:bCs w:val="0"/>
          <w:color w:val="000000"/>
          <w:kern w:val="0"/>
          <w:sz w:val="30"/>
          <w:szCs w:val="30"/>
        </w:rPr>
      </w:pPr>
      <w:r>
        <w:rPr>
          <w:rFonts w:hint="eastAsia" w:ascii="仿宋" w:hAnsi="仿宋" w:eastAsia="仿宋" w:cs="Verdana"/>
          <w:b w:val="0"/>
          <w:bCs w:val="0"/>
          <w:color w:val="000000"/>
          <w:sz w:val="30"/>
          <w:szCs w:val="30"/>
        </w:rPr>
        <w:t>八、</w:t>
      </w:r>
      <w:r>
        <w:rPr>
          <w:rFonts w:hint="eastAsia" w:ascii="仿宋" w:hAnsi="仿宋" w:eastAsia="仿宋" w:cs="Verdana"/>
          <w:b w:val="0"/>
          <w:bCs w:val="0"/>
          <w:kern w:val="0"/>
          <w:sz w:val="30"/>
          <w:szCs w:val="30"/>
          <w:lang w:val="en-US" w:eastAsia="zh-CN"/>
        </w:rPr>
        <w:t>大数据中心劳务派遣经费</w:t>
      </w:r>
      <w:r>
        <w:rPr>
          <w:rFonts w:hint="eastAsia" w:ascii="仿宋" w:hAnsi="仿宋" w:eastAsia="仿宋" w:cs="Verdana"/>
          <w:b w:val="0"/>
          <w:bCs w:val="0"/>
          <w:kern w:val="0"/>
          <w:sz w:val="30"/>
          <w:szCs w:val="30"/>
        </w:rPr>
        <w:t>项目</w:t>
      </w:r>
    </w:p>
    <w:p w14:paraId="04F835FF">
      <w:pPr>
        <w:keepNext w:val="0"/>
        <w:keepLines w:val="0"/>
        <w:pageBreakBefore w:val="0"/>
        <w:kinsoku/>
        <w:wordWrap/>
        <w:overflowPunct/>
        <w:topLinePunct w:val="0"/>
        <w:autoSpaceDE/>
        <w:autoSpaceDN/>
        <w:bidi w:val="0"/>
        <w:adjustRightInd/>
        <w:spacing w:line="560" w:lineRule="exact"/>
        <w:ind w:firstLine="600" w:firstLineChars="200"/>
        <w:textAlignment w:val="auto"/>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3E20A649">
      <w:pPr>
        <w:keepNext w:val="0"/>
        <w:keepLines w:val="0"/>
        <w:pageBreakBefore w:val="0"/>
        <w:kinsoku/>
        <w:wordWrap/>
        <w:overflowPunct/>
        <w:topLinePunct w:val="0"/>
        <w:autoSpaceDE/>
        <w:autoSpaceDN/>
        <w:bidi w:val="0"/>
        <w:adjustRightInd/>
        <w:spacing w:line="560" w:lineRule="exact"/>
        <w:ind w:firstLine="600" w:firstLineChars="200"/>
        <w:textAlignment w:val="auto"/>
        <w:outlineLvl w:val="0"/>
        <w:rPr>
          <w:rFonts w:hint="eastAsia" w:ascii="仿宋" w:hAnsi="仿宋" w:eastAsia="仿宋" w:cs="Verdana"/>
          <w:kern w:val="0"/>
          <w:sz w:val="30"/>
          <w:szCs w:val="30"/>
        </w:rPr>
      </w:pPr>
      <w:r>
        <w:rPr>
          <w:rFonts w:hint="eastAsia" w:ascii="仿宋" w:hAnsi="仿宋" w:eastAsia="仿宋" w:cs="Verdana"/>
          <w:kern w:val="0"/>
          <w:sz w:val="30"/>
          <w:szCs w:val="30"/>
        </w:rPr>
        <w:t>以劳务派遣公司委派专业技能人员进驻的方式，来提高行政效率、降低行政成本、弥补缺失岗位、完成部门年度既定工作目标。</w:t>
      </w:r>
    </w:p>
    <w:p w14:paraId="363C3FCC">
      <w:pPr>
        <w:keepNext w:val="0"/>
        <w:keepLines w:val="0"/>
        <w:pageBreakBefore w:val="0"/>
        <w:kinsoku/>
        <w:wordWrap/>
        <w:overflowPunct/>
        <w:topLinePunct w:val="0"/>
        <w:autoSpaceDE/>
        <w:autoSpaceDN/>
        <w:bidi w:val="0"/>
        <w:adjustRightInd/>
        <w:spacing w:line="560" w:lineRule="exact"/>
        <w:ind w:firstLine="600" w:firstLineChars="200"/>
        <w:textAlignment w:val="auto"/>
        <w:outlineLvl w:val="0"/>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2.立项依据</w:t>
      </w:r>
    </w:p>
    <w:p w14:paraId="08DE29AA">
      <w:pPr>
        <w:keepNext w:val="0"/>
        <w:keepLines w:val="0"/>
        <w:pageBreakBefore w:val="0"/>
        <w:kinsoku/>
        <w:wordWrap/>
        <w:overflowPunct/>
        <w:topLinePunct w:val="0"/>
        <w:autoSpaceDE/>
        <w:autoSpaceDN/>
        <w:bidi w:val="0"/>
        <w:adjustRightInd/>
        <w:spacing w:line="560" w:lineRule="exact"/>
        <w:ind w:firstLine="600" w:firstLineChars="200"/>
        <w:textAlignment w:val="auto"/>
        <w:outlineLvl w:val="0"/>
        <w:rPr>
          <w:rFonts w:hint="eastAsia"/>
        </w:rPr>
      </w:pPr>
      <w:r>
        <w:rPr>
          <w:rFonts w:hint="eastAsia" w:ascii="仿宋" w:hAnsi="仿宋" w:eastAsia="仿宋" w:cs="Verdana"/>
          <w:kern w:val="0"/>
          <w:sz w:val="30"/>
          <w:szCs w:val="30"/>
        </w:rPr>
        <w:t>依据高新区管委会《关于开展招标工作选定劳务派遣合作单位的请示》的批示意见。</w:t>
      </w:r>
    </w:p>
    <w:p w14:paraId="537B70B8">
      <w:pPr>
        <w:keepNext w:val="0"/>
        <w:keepLines w:val="0"/>
        <w:pageBreakBefore w:val="0"/>
        <w:kinsoku/>
        <w:wordWrap/>
        <w:overflowPunct/>
        <w:topLinePunct w:val="0"/>
        <w:autoSpaceDE/>
        <w:autoSpaceDN/>
        <w:bidi w:val="0"/>
        <w:adjustRightInd/>
        <w:spacing w:line="560" w:lineRule="exact"/>
        <w:ind w:firstLine="600" w:firstLineChars="200"/>
        <w:textAlignment w:val="auto"/>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lang w:val="en-US" w:eastAsia="zh-CN"/>
        </w:rPr>
        <w:t>3</w:t>
      </w:r>
      <w:r>
        <w:rPr>
          <w:rFonts w:hint="eastAsia" w:ascii="仿宋" w:hAnsi="仿宋" w:eastAsia="仿宋" w:cs="仿宋_GB2312"/>
          <w:bCs/>
          <w:color w:val="000000"/>
          <w:kern w:val="0"/>
          <w:sz w:val="30"/>
          <w:szCs w:val="30"/>
          <w:lang w:val="en-US" w:eastAsia="zh-CN"/>
        </w:rPr>
        <w:t>.</w:t>
      </w:r>
      <w:r>
        <w:rPr>
          <w:rFonts w:hint="eastAsia" w:ascii="仿宋" w:hAnsi="仿宋" w:eastAsia="仿宋" w:cs="仿宋_GB2312"/>
          <w:bCs/>
          <w:color w:val="000000"/>
          <w:kern w:val="0"/>
          <w:sz w:val="30"/>
          <w:szCs w:val="30"/>
        </w:rPr>
        <w:t>实施主体</w:t>
      </w:r>
    </w:p>
    <w:p w14:paraId="5EB0EACF">
      <w:pPr>
        <w:keepNext w:val="0"/>
        <w:keepLines w:val="0"/>
        <w:pageBreakBefore w:val="0"/>
        <w:kinsoku/>
        <w:wordWrap/>
        <w:overflowPunct/>
        <w:topLinePunct w:val="0"/>
        <w:autoSpaceDE/>
        <w:autoSpaceDN/>
        <w:bidi w:val="0"/>
        <w:adjustRightInd/>
        <w:spacing w:line="560" w:lineRule="exact"/>
        <w:ind w:left="160" w:firstLine="450" w:firstLineChars="150"/>
        <w:textAlignment w:val="auto"/>
        <w:rPr>
          <w:rFonts w:hint="eastAsia" w:eastAsia="仿宋"/>
          <w:lang w:val="en-US" w:eastAsia="zh-CN"/>
        </w:rPr>
      </w:pPr>
      <w:r>
        <w:rPr>
          <w:rFonts w:hint="eastAsia" w:ascii="仿宋" w:hAnsi="仿宋" w:eastAsia="仿宋" w:cs="Verdana"/>
          <w:kern w:val="0"/>
          <w:sz w:val="30"/>
          <w:szCs w:val="30"/>
          <w:lang w:val="en-US" w:eastAsia="zh-CN"/>
        </w:rPr>
        <w:t>大数据中心</w:t>
      </w:r>
      <w:r>
        <w:rPr>
          <w:rFonts w:hint="eastAsia" w:ascii="仿宋" w:hAnsi="仿宋" w:eastAsia="仿宋" w:cs="Verdana"/>
          <w:kern w:val="0"/>
          <w:sz w:val="30"/>
          <w:szCs w:val="30"/>
        </w:rPr>
        <w:t>劳务派遣经费由区党群工作部统一政府采购，由大连高新技术产业园区大数据中心</w:t>
      </w:r>
      <w:r>
        <w:rPr>
          <w:rFonts w:hint="eastAsia" w:ascii="仿宋" w:hAnsi="仿宋" w:eastAsia="仿宋" w:cs="Verdana"/>
          <w:kern w:val="0"/>
          <w:sz w:val="30"/>
          <w:szCs w:val="30"/>
          <w:lang w:val="en-US" w:eastAsia="zh-CN"/>
        </w:rPr>
        <w:t>具体实施。</w:t>
      </w:r>
    </w:p>
    <w:p w14:paraId="6CF1A037">
      <w:pPr>
        <w:keepNext w:val="0"/>
        <w:keepLines w:val="0"/>
        <w:pageBreakBefore w:val="0"/>
        <w:kinsoku/>
        <w:wordWrap/>
        <w:overflowPunct/>
        <w:topLinePunct w:val="0"/>
        <w:autoSpaceDE/>
        <w:autoSpaceDN/>
        <w:bidi w:val="0"/>
        <w:adjustRightInd/>
        <w:spacing w:line="560" w:lineRule="exact"/>
        <w:ind w:left="160" w:firstLine="450" w:firstLineChars="150"/>
        <w:textAlignment w:val="auto"/>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val="en-US" w:eastAsia="zh-CN"/>
        </w:rPr>
        <w:t>3</w:t>
      </w:r>
      <w:r>
        <w:rPr>
          <w:rFonts w:hint="eastAsia" w:ascii="仿宋" w:hAnsi="仿宋" w:eastAsia="仿宋" w:cs="仿宋_GB2312"/>
          <w:bCs/>
          <w:color w:val="000000"/>
          <w:kern w:val="0"/>
          <w:sz w:val="30"/>
          <w:szCs w:val="30"/>
        </w:rPr>
        <w:t>.实施方案</w:t>
      </w:r>
    </w:p>
    <w:p w14:paraId="0485D32A">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val="en-US" w:eastAsia="zh-CN"/>
        </w:rPr>
        <w:t>资金下达后，按月由大连高新技术产业园区大数据中心</w:t>
      </w:r>
      <w:r>
        <w:rPr>
          <w:rFonts w:hint="eastAsia" w:ascii="仿宋" w:hAnsi="仿宋" w:eastAsia="仿宋" w:cs="仿宋_GB2312"/>
          <w:color w:val="000000"/>
          <w:kern w:val="0"/>
          <w:sz w:val="30"/>
          <w:szCs w:val="30"/>
        </w:rPr>
        <w:t>向劳务派遣公司支付费用。</w:t>
      </w:r>
    </w:p>
    <w:p w14:paraId="6B3E4C72">
      <w:pPr>
        <w:keepNext w:val="0"/>
        <w:keepLines w:val="0"/>
        <w:pageBreakBefore w:val="0"/>
        <w:kinsoku/>
        <w:wordWrap/>
        <w:overflowPunct/>
        <w:topLinePunct w:val="0"/>
        <w:autoSpaceDE/>
        <w:autoSpaceDN/>
        <w:bidi w:val="0"/>
        <w:adjustRightInd/>
        <w:spacing w:line="560" w:lineRule="exact"/>
        <w:ind w:firstLine="600" w:firstLineChars="200"/>
        <w:textAlignment w:val="auto"/>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val="en-US" w:eastAsia="zh-CN"/>
        </w:rPr>
        <w:t>4</w:t>
      </w:r>
      <w:r>
        <w:rPr>
          <w:rFonts w:hint="eastAsia" w:ascii="仿宋" w:hAnsi="仿宋" w:eastAsia="仿宋" w:cs="仿宋_GB2312"/>
          <w:bCs/>
          <w:color w:val="000000"/>
          <w:kern w:val="0"/>
          <w:sz w:val="30"/>
          <w:szCs w:val="30"/>
        </w:rPr>
        <w:t>.实施周期</w:t>
      </w:r>
    </w:p>
    <w:p w14:paraId="2D63C632">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_GB2312"/>
          <w:color w:val="000000"/>
          <w:kern w:val="0"/>
          <w:sz w:val="30"/>
          <w:szCs w:val="30"/>
          <w:lang w:val="en-US" w:eastAsia="zh-CN"/>
        </w:rPr>
      </w:pPr>
      <w:r>
        <w:rPr>
          <w:rFonts w:hint="eastAsia" w:ascii="仿宋" w:hAnsi="仿宋" w:eastAsia="仿宋" w:cs="仿宋_GB2312"/>
          <w:color w:val="000000"/>
          <w:kern w:val="0"/>
          <w:sz w:val="30"/>
          <w:szCs w:val="30"/>
          <w:lang w:val="en-US" w:eastAsia="zh-CN"/>
        </w:rPr>
        <w:t>2024年1月1日至2024年12月31日。</w:t>
      </w:r>
    </w:p>
    <w:p w14:paraId="236D0598">
      <w:pPr>
        <w:keepNext w:val="0"/>
        <w:keepLines w:val="0"/>
        <w:pageBreakBefore w:val="0"/>
        <w:kinsoku/>
        <w:wordWrap/>
        <w:overflowPunct/>
        <w:topLinePunct w:val="0"/>
        <w:autoSpaceDE/>
        <w:autoSpaceDN/>
        <w:bidi w:val="0"/>
        <w:adjustRightInd/>
        <w:spacing w:line="560" w:lineRule="exact"/>
        <w:ind w:firstLine="600" w:firstLineChars="200"/>
        <w:textAlignment w:val="auto"/>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val="en-US" w:eastAsia="zh-CN"/>
        </w:rPr>
        <w:t>5</w:t>
      </w:r>
      <w:r>
        <w:rPr>
          <w:rFonts w:hint="eastAsia" w:ascii="仿宋" w:hAnsi="仿宋" w:eastAsia="仿宋" w:cs="仿宋_GB2312"/>
          <w:bCs/>
          <w:color w:val="000000"/>
          <w:kern w:val="0"/>
          <w:sz w:val="30"/>
          <w:szCs w:val="30"/>
        </w:rPr>
        <w:t>.年度预算安排</w:t>
      </w:r>
    </w:p>
    <w:p w14:paraId="03459E78">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_GB2312"/>
          <w:color w:val="000000"/>
          <w:kern w:val="0"/>
          <w:sz w:val="30"/>
          <w:szCs w:val="30"/>
          <w:lang w:val="en-US" w:eastAsia="zh-CN"/>
        </w:rPr>
      </w:pPr>
      <w:r>
        <w:rPr>
          <w:rFonts w:hint="eastAsia" w:ascii="仿宋" w:hAnsi="仿宋" w:eastAsia="仿宋" w:cs="仿宋_GB2312"/>
          <w:color w:val="000000"/>
          <w:kern w:val="0"/>
          <w:sz w:val="30"/>
          <w:szCs w:val="30"/>
          <w:lang w:val="en-US" w:eastAsia="zh-CN"/>
        </w:rPr>
        <w:t>2024年度，共安排预算110万元。</w:t>
      </w:r>
    </w:p>
    <w:p w14:paraId="3FDECC9E">
      <w:pPr>
        <w:pStyle w:val="2"/>
        <w:rPr>
          <w:rFonts w:hint="default"/>
          <w:lang w:val="en-US" w:eastAsia="zh-CN"/>
        </w:rPr>
      </w:pPr>
    </w:p>
    <w:p w14:paraId="6EA9C3BD">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1849D3FE">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5AF7EF13">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2A1C2CA5">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7BED69B0">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55805B2E">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F1A346A">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3614B481">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72F32191">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746D0DDB">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72C00501">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65969C23">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33DC4A2F">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797C9C28">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0782665D">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4E973868">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76286107">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63A65F1C">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3F733371">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hint="eastAsia"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2DC07193">
      <w:pPr>
        <w:pStyle w:val="2"/>
      </w:pPr>
    </w:p>
    <w:p w14:paraId="05E9C270">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20</w:t>
      </w:r>
      <w:r>
        <w:rPr>
          <w:rFonts w:hint="eastAsia" w:ascii="仿宋" w:hAnsi="仿宋" w:eastAsia="仿宋" w:cs="仿宋"/>
          <w:color w:val="000000"/>
          <w:kern w:val="0"/>
          <w:sz w:val="30"/>
          <w:szCs w:val="30"/>
          <w:lang w:val="en-US" w:eastAsia="zh-CN"/>
        </w:rPr>
        <w:t>24</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rPr>
        <w:t>日</w:t>
      </w:r>
    </w:p>
    <w:p w14:paraId="61BCB7CE">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AE73">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1244B37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68ECC">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299156A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C05D4"/>
    <w:multiLevelType w:val="multilevel"/>
    <w:tmpl w:val="3C3C05D4"/>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55BB"/>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6E55"/>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4062E0E"/>
    <w:rsid w:val="062E3BBA"/>
    <w:rsid w:val="07424CE5"/>
    <w:rsid w:val="098B21E0"/>
    <w:rsid w:val="0B697506"/>
    <w:rsid w:val="0E6A46D2"/>
    <w:rsid w:val="0EA2399D"/>
    <w:rsid w:val="10505FAA"/>
    <w:rsid w:val="14F11A91"/>
    <w:rsid w:val="19411027"/>
    <w:rsid w:val="19C301C2"/>
    <w:rsid w:val="1C197B20"/>
    <w:rsid w:val="1C561E8C"/>
    <w:rsid w:val="1FA2511F"/>
    <w:rsid w:val="21D96333"/>
    <w:rsid w:val="242C3C7F"/>
    <w:rsid w:val="24E011DB"/>
    <w:rsid w:val="24EC5E01"/>
    <w:rsid w:val="273E65AE"/>
    <w:rsid w:val="287A0545"/>
    <w:rsid w:val="2A0F2112"/>
    <w:rsid w:val="2AA853A6"/>
    <w:rsid w:val="2D65543B"/>
    <w:rsid w:val="2F8462B2"/>
    <w:rsid w:val="30D83D5A"/>
    <w:rsid w:val="33B54AAA"/>
    <w:rsid w:val="3E442080"/>
    <w:rsid w:val="40435681"/>
    <w:rsid w:val="45D17156"/>
    <w:rsid w:val="46D6135B"/>
    <w:rsid w:val="471338C7"/>
    <w:rsid w:val="48246F37"/>
    <w:rsid w:val="488C5350"/>
    <w:rsid w:val="48B4226E"/>
    <w:rsid w:val="498B571A"/>
    <w:rsid w:val="4AE11787"/>
    <w:rsid w:val="4DF00C86"/>
    <w:rsid w:val="507F62E2"/>
    <w:rsid w:val="52AC5941"/>
    <w:rsid w:val="551C47D4"/>
    <w:rsid w:val="55A6769E"/>
    <w:rsid w:val="55CD3A33"/>
    <w:rsid w:val="5677363F"/>
    <w:rsid w:val="5BCC766F"/>
    <w:rsid w:val="5E791DA8"/>
    <w:rsid w:val="65444892"/>
    <w:rsid w:val="662A56B2"/>
    <w:rsid w:val="69346428"/>
    <w:rsid w:val="6CF3261D"/>
    <w:rsid w:val="6FA44937"/>
    <w:rsid w:val="71791D68"/>
    <w:rsid w:val="72833D0A"/>
    <w:rsid w:val="72C345D1"/>
    <w:rsid w:val="79C42BB8"/>
    <w:rsid w:val="7AE74C06"/>
    <w:rsid w:val="7B9621E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440" w:leftChars="700" w:right="700" w:rightChars="700"/>
    </w:pPr>
  </w:style>
  <w:style w:type="paragraph" w:styleId="3">
    <w:name w:val="footer"/>
    <w:basedOn w:val="1"/>
    <w:link w:val="9"/>
    <w:autoRedefine/>
    <w:qFormat/>
    <w:uiPriority w:val="99"/>
    <w:pPr>
      <w:tabs>
        <w:tab w:val="center" w:pos="4153"/>
        <w:tab w:val="right" w:pos="8306"/>
      </w:tabs>
      <w:snapToGrid w:val="0"/>
      <w:jc w:val="left"/>
    </w:pPr>
    <w:rPr>
      <w:kern w:val="0"/>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autoRedefine/>
    <w:qFormat/>
    <w:uiPriority w:val="99"/>
    <w:rPr>
      <w:rFonts w:cs="Times New Roman"/>
    </w:rPr>
  </w:style>
  <w:style w:type="character" w:customStyle="1" w:styleId="8">
    <w:name w:val="页眉 Char"/>
    <w:link w:val="4"/>
    <w:autoRedefine/>
    <w:semiHidden/>
    <w:qFormat/>
    <w:locked/>
    <w:uiPriority w:val="99"/>
    <w:rPr>
      <w:rFonts w:ascii="Times New Roman" w:hAnsi="Times New Roman" w:eastAsia="宋体" w:cs="Times New Roman"/>
      <w:sz w:val="18"/>
      <w:szCs w:val="18"/>
    </w:rPr>
  </w:style>
  <w:style w:type="character" w:customStyle="1" w:styleId="9">
    <w:name w:val="页脚 Char"/>
    <w:link w:val="3"/>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3075</Words>
  <Characters>3193</Characters>
  <Lines>4</Lines>
  <Paragraphs>1</Paragraphs>
  <TotalTime>15</TotalTime>
  <ScaleCrop>false</ScaleCrop>
  <LinksUpToDate>false</LinksUpToDate>
  <CharactersWithSpaces>3461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2025-02-07T08:22:00Z</cp:lastPrinted>
  <dcterms:modified xsi:type="dcterms:W3CDTF">2025-12-25T06:33:05Z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C7D8C75B5884444791727586287ECD71_13</vt:lpwstr>
  </property>
  <property fmtid="{D5CDD505-2E9C-101B-9397-08002B2CF9AE}" pid="4" name="KSOTemplateDocerSaveRecord">
    <vt:lpwstr>eyJoZGlkIjoiNzMzNGFhYTQwZDVjNjVmMDFlMTAxYjIwOTljNDhhZWQiLCJ1c2VySWQiOiIyMDEzOTMzNTkifQ==</vt:lpwstr>
  </property>
</Properties>
</file>