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E51B2">
      <w:pPr>
        <w:spacing w:line="600" w:lineRule="exact"/>
        <w:rPr>
          <w:rFonts w:ascii="仿宋_GB2312" w:eastAsia="仿宋_GB2312"/>
          <w:sz w:val="32"/>
          <w:szCs w:val="32"/>
        </w:rPr>
      </w:pPr>
      <w:bookmarkStart w:id="0" w:name="_GoBack"/>
      <w:bookmarkEnd w:id="0"/>
    </w:p>
    <w:p w14:paraId="7851A0C7">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高新区财政金融局</w:t>
      </w:r>
      <w:r>
        <w:rPr>
          <w:rFonts w:ascii="仿宋" w:hAnsi="仿宋" w:eastAsia="仿宋" w:cs="仿宋"/>
          <w:b/>
          <w:bCs/>
          <w:color w:val="000000"/>
          <w:kern w:val="0"/>
          <w:sz w:val="36"/>
          <w:szCs w:val="36"/>
        </w:rPr>
        <w:t>202</w:t>
      </w:r>
      <w:r>
        <w:rPr>
          <w:rFonts w:hint="eastAsia" w:ascii="仿宋" w:hAnsi="仿宋" w:eastAsia="仿宋" w:cs="仿宋"/>
          <w:b/>
          <w:bCs/>
          <w:color w:val="000000"/>
          <w:kern w:val="0"/>
          <w:sz w:val="36"/>
          <w:szCs w:val="36"/>
          <w:lang w:val="en-US" w:eastAsia="zh-CN"/>
        </w:rPr>
        <w:t>4</w:t>
      </w:r>
      <w:r>
        <w:rPr>
          <w:rFonts w:hint="eastAsia" w:ascii="仿宋" w:hAnsi="仿宋" w:eastAsia="仿宋" w:cs="仿宋"/>
          <w:b/>
          <w:bCs/>
          <w:color w:val="000000"/>
          <w:kern w:val="0"/>
          <w:sz w:val="36"/>
          <w:szCs w:val="36"/>
        </w:rPr>
        <w:t>年部门预算</w:t>
      </w:r>
    </w:p>
    <w:p w14:paraId="7513628C">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401D005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07921AC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2D82928F">
      <w:pPr>
        <w:ind w:firstLine="588" w:firstLineChars="196"/>
        <w:rPr>
          <w:rFonts w:ascii="仿宋" w:hAnsi="仿宋" w:eastAsia="仿宋"/>
          <w:sz w:val="30"/>
          <w:szCs w:val="30"/>
        </w:rPr>
      </w:pPr>
      <w:r>
        <w:rPr>
          <w:rFonts w:hint="eastAsia" w:ascii="仿宋" w:hAnsi="仿宋" w:eastAsia="仿宋"/>
          <w:sz w:val="30"/>
          <w:szCs w:val="30"/>
        </w:rPr>
        <w:t>（一）贯彻执行国家、省、市财税方针政策，拟定高新区财政发展战略、规划、分配政策、财政综合平衡计划；分析预测经济形势，参与制定各项宏观经济政策。</w:t>
      </w:r>
    </w:p>
    <w:p w14:paraId="019519EA">
      <w:pPr>
        <w:ind w:firstLine="588" w:firstLineChars="196"/>
        <w:rPr>
          <w:rFonts w:ascii="仿宋" w:hAnsi="仿宋" w:eastAsia="仿宋"/>
          <w:sz w:val="30"/>
          <w:szCs w:val="30"/>
        </w:rPr>
      </w:pPr>
      <w:r>
        <w:rPr>
          <w:rFonts w:hint="eastAsia" w:ascii="仿宋" w:hAnsi="仿宋" w:eastAsia="仿宋"/>
          <w:sz w:val="30"/>
          <w:szCs w:val="30"/>
        </w:rPr>
        <w:t>（二）研究我区经济社会中的财税重大问题，围绕我区政府中心工作提出改进和完善政府管理、提高财政资金使用效益的建议。</w:t>
      </w:r>
    </w:p>
    <w:p w14:paraId="372DF1B9">
      <w:pPr>
        <w:ind w:firstLine="588" w:firstLineChars="196"/>
        <w:rPr>
          <w:rFonts w:ascii="仿宋" w:hAnsi="仿宋" w:eastAsia="仿宋"/>
          <w:sz w:val="30"/>
          <w:szCs w:val="30"/>
        </w:rPr>
      </w:pPr>
      <w:r>
        <w:rPr>
          <w:rFonts w:hint="eastAsia" w:ascii="仿宋" w:hAnsi="仿宋" w:eastAsia="仿宋"/>
          <w:sz w:val="30"/>
          <w:szCs w:val="30"/>
        </w:rPr>
        <w:t>（三）统筹管理高新区财政一般公共预算、政府性基金预算、国有资本经营预算。统筹管理高新区社会保险基金预算，负责编制高新区一般公共预算、政府性基金预算、国有资本经营预算。</w:t>
      </w:r>
    </w:p>
    <w:p w14:paraId="37D8325B">
      <w:pPr>
        <w:ind w:firstLine="588" w:firstLineChars="196"/>
        <w:rPr>
          <w:rFonts w:ascii="仿宋" w:hAnsi="仿宋" w:eastAsia="仿宋"/>
          <w:sz w:val="30"/>
          <w:szCs w:val="30"/>
        </w:rPr>
      </w:pPr>
      <w:r>
        <w:rPr>
          <w:rFonts w:hint="eastAsia" w:ascii="仿宋" w:hAnsi="仿宋" w:eastAsia="仿宋"/>
          <w:sz w:val="30"/>
          <w:szCs w:val="30"/>
        </w:rPr>
        <w:t>（四）承担高新区各项财政收支管理的责任，负责编制年度本级预算草案并组织执行，负责审核批复部门的年度预决算，完善转移支付制度，指导乡（镇）财政管理工作。组织制定经费开支标准、定额。</w:t>
      </w:r>
    </w:p>
    <w:p w14:paraId="7D038491">
      <w:pPr>
        <w:ind w:firstLine="588" w:firstLineChars="196"/>
        <w:rPr>
          <w:rFonts w:ascii="仿宋" w:hAnsi="仿宋" w:eastAsia="仿宋"/>
          <w:sz w:val="30"/>
          <w:szCs w:val="30"/>
        </w:rPr>
      </w:pPr>
      <w:r>
        <w:rPr>
          <w:rFonts w:hint="eastAsia" w:ascii="仿宋" w:hAnsi="仿宋" w:eastAsia="仿宋"/>
          <w:sz w:val="30"/>
          <w:szCs w:val="30"/>
        </w:rPr>
        <w:t>（五）贯彻执行国家、省、市税收法律、行政法规及有关政策，负责政府非税收入管理，按规定管理行政事业性收费、政府性基金及其他非税收入，管理财政票据。</w:t>
      </w:r>
    </w:p>
    <w:p w14:paraId="61798B1D">
      <w:pPr>
        <w:ind w:firstLine="588" w:firstLineChars="196"/>
        <w:rPr>
          <w:rFonts w:ascii="仿宋" w:hAnsi="仿宋" w:eastAsia="仿宋"/>
          <w:sz w:val="30"/>
          <w:szCs w:val="30"/>
        </w:rPr>
      </w:pPr>
      <w:r>
        <w:rPr>
          <w:rFonts w:hint="eastAsia" w:ascii="仿宋" w:hAnsi="仿宋" w:eastAsia="仿宋"/>
          <w:sz w:val="30"/>
          <w:szCs w:val="30"/>
        </w:rPr>
        <w:t>（六）组织制定高新区财政国库管理和国库集中收付制度，指导和监督高新区国库业务。按规定管理国库现金。</w:t>
      </w:r>
    </w:p>
    <w:p w14:paraId="68A89552">
      <w:pPr>
        <w:ind w:firstLine="588" w:firstLineChars="196"/>
        <w:rPr>
          <w:rFonts w:ascii="仿宋" w:hAnsi="仿宋" w:eastAsia="仿宋"/>
          <w:sz w:val="30"/>
          <w:szCs w:val="30"/>
        </w:rPr>
      </w:pPr>
      <w:r>
        <w:rPr>
          <w:rFonts w:hint="eastAsia" w:ascii="仿宋" w:hAnsi="仿宋" w:eastAsia="仿宋"/>
          <w:sz w:val="30"/>
          <w:szCs w:val="30"/>
        </w:rPr>
        <w:t>（七）负责制定政府采购制度，监督管理政府采购活动，组织制定政府向社会力量购买服务制度，监督政府向社会力量购买服务活动。</w:t>
      </w:r>
    </w:p>
    <w:p w14:paraId="3B2B156B">
      <w:pPr>
        <w:ind w:firstLine="588" w:firstLineChars="196"/>
        <w:rPr>
          <w:rFonts w:ascii="仿宋" w:hAnsi="仿宋" w:eastAsia="仿宋"/>
          <w:sz w:val="30"/>
          <w:szCs w:val="30"/>
        </w:rPr>
      </w:pPr>
      <w:r>
        <w:rPr>
          <w:rFonts w:hint="eastAsia" w:ascii="仿宋" w:hAnsi="仿宋" w:eastAsia="仿宋"/>
          <w:sz w:val="30"/>
          <w:szCs w:val="30"/>
        </w:rPr>
        <w:t>（八）负责办理和监督中央、省市政府性投资项目的财政拨款，负责政府性投资基本建设财政管理，组织审查财政性投资工程预（结）算、竣工决算。负责办理和监督财政经济发展支出，负责有关政策性补贴和专项储备资金财政管理工作。</w:t>
      </w:r>
    </w:p>
    <w:p w14:paraId="3B4B8678">
      <w:pPr>
        <w:ind w:firstLine="588" w:firstLineChars="196"/>
        <w:rPr>
          <w:rFonts w:ascii="仿宋" w:hAnsi="仿宋" w:eastAsia="仿宋"/>
          <w:sz w:val="30"/>
          <w:szCs w:val="30"/>
        </w:rPr>
      </w:pPr>
      <w:r>
        <w:rPr>
          <w:rFonts w:hint="eastAsia" w:ascii="仿宋" w:hAnsi="仿宋" w:eastAsia="仿宋"/>
          <w:sz w:val="30"/>
          <w:szCs w:val="30"/>
        </w:rPr>
        <w:t>（九）组织编制和执行年度土地出让金收支预算，监督土地管理部门土地出让金的征收和缴库。</w:t>
      </w:r>
    </w:p>
    <w:p w14:paraId="49F37FD8">
      <w:pPr>
        <w:ind w:firstLine="588" w:firstLineChars="196"/>
        <w:rPr>
          <w:rFonts w:ascii="仿宋" w:hAnsi="仿宋" w:eastAsia="仿宋"/>
          <w:sz w:val="30"/>
          <w:szCs w:val="30"/>
        </w:rPr>
      </w:pPr>
      <w:r>
        <w:rPr>
          <w:rFonts w:hint="eastAsia" w:ascii="仿宋" w:hAnsi="仿宋" w:eastAsia="仿宋"/>
          <w:sz w:val="30"/>
          <w:szCs w:val="30"/>
        </w:rPr>
        <w:t>（十）贯彻执行国家、省、市政府债务及与政府相关的债务管理政策、制度，拟订高新区政府债务及与政府相关的债务管理制度、办法并组织实施。监督管理全区政府债务及与政府相关的债务。</w:t>
      </w:r>
    </w:p>
    <w:p w14:paraId="0103E260">
      <w:pPr>
        <w:ind w:firstLine="588" w:firstLineChars="196"/>
        <w:rPr>
          <w:rFonts w:ascii="仿宋" w:hAnsi="仿宋" w:eastAsia="仿宋"/>
          <w:sz w:val="30"/>
          <w:szCs w:val="30"/>
        </w:rPr>
      </w:pPr>
      <w:r>
        <w:rPr>
          <w:rFonts w:hint="eastAsia" w:ascii="仿宋" w:hAnsi="仿宋" w:eastAsia="仿宋"/>
          <w:sz w:val="30"/>
          <w:szCs w:val="30"/>
        </w:rPr>
        <w:t>（十一）代高新区管委会履行区属国有金融资本出资人职责，负责区属国有金融企业相关管理工作，组织落实财政金融相关政策等。</w:t>
      </w:r>
    </w:p>
    <w:p w14:paraId="1B4D60A4">
      <w:pPr>
        <w:ind w:firstLine="588" w:firstLineChars="196"/>
        <w:rPr>
          <w:rFonts w:ascii="仿宋" w:hAnsi="仿宋" w:eastAsia="仿宋"/>
          <w:sz w:val="30"/>
          <w:szCs w:val="30"/>
        </w:rPr>
      </w:pPr>
      <w:r>
        <w:rPr>
          <w:rFonts w:hint="eastAsia" w:ascii="仿宋" w:hAnsi="仿宋" w:eastAsia="仿宋"/>
          <w:sz w:val="30"/>
          <w:szCs w:val="30"/>
        </w:rPr>
        <w:t>（十二）监督检查财税法规、政策的执行情况，提出加强财政管理的政策建议。加强财政内部控制体系建设，承担会计信息质量检查，依法查处违法违规行为。反映财政、财务管理中的重大问题。</w:t>
      </w:r>
    </w:p>
    <w:p w14:paraId="0533E2E1">
      <w:pPr>
        <w:ind w:firstLine="588" w:firstLineChars="196"/>
        <w:rPr>
          <w:rFonts w:ascii="仿宋" w:hAnsi="仿宋" w:eastAsia="仿宋"/>
          <w:sz w:val="30"/>
          <w:szCs w:val="30"/>
        </w:rPr>
      </w:pPr>
      <w:r>
        <w:rPr>
          <w:rFonts w:hint="eastAsia" w:ascii="仿宋" w:hAnsi="仿宋" w:eastAsia="仿宋"/>
          <w:sz w:val="30"/>
          <w:szCs w:val="30"/>
        </w:rPr>
        <w:t>（十三）全面组织实施预算绩效管理，将政府收支预算、部门和单位预算、政策和项目全面纳入绩效管理。构建全方位、全过程、全覆盖的预算绩效管理体系，实现预算和绩效管理一体化。</w:t>
      </w:r>
    </w:p>
    <w:p w14:paraId="050CA918">
      <w:pPr>
        <w:ind w:firstLine="588" w:firstLineChars="196"/>
        <w:rPr>
          <w:rFonts w:ascii="仿宋" w:hAnsi="仿宋" w:eastAsia="仿宋"/>
          <w:sz w:val="30"/>
          <w:szCs w:val="30"/>
        </w:rPr>
      </w:pPr>
      <w:r>
        <w:rPr>
          <w:rFonts w:hint="eastAsia" w:ascii="仿宋" w:hAnsi="仿宋" w:eastAsia="仿宋"/>
          <w:sz w:val="30"/>
          <w:szCs w:val="30"/>
        </w:rPr>
        <w:t>（十四）会同有关部门管理我区财政社会保障和就业及卫生健康等支出。</w:t>
      </w:r>
    </w:p>
    <w:p w14:paraId="32E9845D">
      <w:pPr>
        <w:ind w:firstLine="588" w:firstLineChars="196"/>
        <w:rPr>
          <w:rFonts w:ascii="仿宋" w:hAnsi="仿宋" w:eastAsia="仿宋"/>
          <w:sz w:val="30"/>
          <w:szCs w:val="30"/>
        </w:rPr>
      </w:pPr>
      <w:r>
        <w:rPr>
          <w:rFonts w:hint="eastAsia" w:ascii="仿宋" w:hAnsi="仿宋" w:eastAsia="仿宋"/>
          <w:sz w:val="30"/>
          <w:szCs w:val="30"/>
        </w:rPr>
        <w:t>（十五）负责园区行政事业单位的非经营性资产转为经营性资产的审批工作。</w:t>
      </w:r>
    </w:p>
    <w:p w14:paraId="62DAF1EC">
      <w:pPr>
        <w:ind w:firstLine="588" w:firstLineChars="196"/>
        <w:rPr>
          <w:rFonts w:ascii="仿宋" w:hAnsi="仿宋" w:eastAsia="仿宋"/>
          <w:sz w:val="30"/>
          <w:szCs w:val="30"/>
        </w:rPr>
      </w:pPr>
      <w:r>
        <w:rPr>
          <w:rFonts w:hint="eastAsia" w:ascii="仿宋" w:hAnsi="仿宋" w:eastAsia="仿宋"/>
          <w:sz w:val="30"/>
          <w:szCs w:val="30"/>
        </w:rPr>
        <w:t>（十六）贯彻落实国家、省、市有关金融工作的方针、政策和法律、法规，负责高新区金融相关政策的组织实施。</w:t>
      </w:r>
    </w:p>
    <w:p w14:paraId="3D23C9C4">
      <w:pPr>
        <w:ind w:firstLine="588" w:firstLineChars="196"/>
        <w:rPr>
          <w:rFonts w:ascii="仿宋" w:hAnsi="仿宋" w:eastAsia="仿宋"/>
          <w:sz w:val="30"/>
          <w:szCs w:val="30"/>
        </w:rPr>
      </w:pPr>
      <w:r>
        <w:rPr>
          <w:rFonts w:hint="eastAsia" w:ascii="仿宋" w:hAnsi="仿宋" w:eastAsia="仿宋"/>
          <w:sz w:val="30"/>
          <w:szCs w:val="30"/>
        </w:rPr>
        <w:t>（十七）研究分析宏观金融形势、国家、省、市金融政策和我区金融运行情况，拟订我区金融业中长期发展规划，拟订优化金融发展环境、促进金融业发展的相关政策措施。</w:t>
      </w:r>
    </w:p>
    <w:p w14:paraId="14822260">
      <w:pPr>
        <w:ind w:firstLine="588" w:firstLineChars="196"/>
        <w:rPr>
          <w:rFonts w:ascii="仿宋" w:hAnsi="仿宋" w:eastAsia="仿宋"/>
          <w:sz w:val="30"/>
          <w:szCs w:val="30"/>
        </w:rPr>
      </w:pPr>
      <w:r>
        <w:rPr>
          <w:rFonts w:hint="eastAsia" w:ascii="仿宋" w:hAnsi="仿宋" w:eastAsia="仿宋"/>
          <w:sz w:val="30"/>
          <w:szCs w:val="30"/>
        </w:rPr>
        <w:t>（十八）推动高新区科技金融集聚区建设，聚集各类金融机构，建立完善金融服务体系，优化金融发展环境。</w:t>
      </w:r>
    </w:p>
    <w:p w14:paraId="0E4DBEDA">
      <w:pPr>
        <w:ind w:firstLine="588" w:firstLineChars="196"/>
        <w:rPr>
          <w:rFonts w:ascii="仿宋" w:hAnsi="仿宋" w:eastAsia="仿宋"/>
          <w:sz w:val="30"/>
          <w:szCs w:val="30"/>
        </w:rPr>
      </w:pPr>
      <w:r>
        <w:rPr>
          <w:rFonts w:hint="eastAsia" w:ascii="仿宋" w:hAnsi="仿宋" w:eastAsia="仿宋"/>
          <w:sz w:val="30"/>
          <w:szCs w:val="30"/>
        </w:rPr>
        <w:t>（十九）承担与国家、省、市金融管理部门、各类金融机构的沟通协调、信息交流和服务工作，配合国家、省、市金融监管部门，推动金融业规范健康发展，引导全区金融业服务实体经济。</w:t>
      </w:r>
    </w:p>
    <w:p w14:paraId="15FAC286">
      <w:pPr>
        <w:ind w:firstLine="588" w:firstLineChars="196"/>
        <w:rPr>
          <w:rFonts w:ascii="仿宋" w:hAnsi="仿宋" w:eastAsia="仿宋"/>
          <w:sz w:val="30"/>
          <w:szCs w:val="30"/>
        </w:rPr>
      </w:pPr>
      <w:r>
        <w:rPr>
          <w:rFonts w:hint="eastAsia" w:ascii="仿宋" w:hAnsi="仿宋" w:eastAsia="仿宋"/>
          <w:sz w:val="30"/>
          <w:szCs w:val="30"/>
        </w:rPr>
        <w:t>（二十）开展我区金融风险防范化解工作，维护我区金融稳定。贯彻落实国家、省、市关于处置非法集资的方针政策和工作要求，负责区处置非法集资工作的统筹协调工作。</w:t>
      </w:r>
    </w:p>
    <w:p w14:paraId="5544F50D">
      <w:pPr>
        <w:ind w:firstLine="588" w:firstLineChars="196"/>
        <w:rPr>
          <w:rFonts w:ascii="仿宋" w:hAnsi="仿宋" w:eastAsia="仿宋"/>
          <w:sz w:val="30"/>
          <w:szCs w:val="30"/>
          <w:highlight w:val="yellow"/>
        </w:rPr>
      </w:pPr>
      <w:r>
        <w:rPr>
          <w:rFonts w:hint="eastAsia" w:ascii="仿宋" w:hAnsi="仿宋" w:eastAsia="仿宋"/>
          <w:sz w:val="30"/>
          <w:szCs w:val="30"/>
        </w:rPr>
        <w:t>（二十一）按照市金融管理部门的要求，配合其做好各类金融机构的设立和日常监管等工作。</w:t>
      </w:r>
    </w:p>
    <w:p w14:paraId="57D02812">
      <w:pPr>
        <w:ind w:firstLine="588" w:firstLineChars="196"/>
        <w:rPr>
          <w:rFonts w:ascii="仿宋" w:hAnsi="仿宋" w:eastAsia="仿宋"/>
          <w:sz w:val="30"/>
          <w:szCs w:val="30"/>
        </w:rPr>
      </w:pPr>
      <w:r>
        <w:rPr>
          <w:rFonts w:hint="eastAsia" w:ascii="仿宋" w:hAnsi="仿宋" w:eastAsia="仿宋"/>
          <w:sz w:val="30"/>
          <w:szCs w:val="30"/>
        </w:rPr>
        <w:t>（二十二）贯彻执行国家和省、市有关行政、企事业单位国有资产监督管理的法律、法规和方针、政策。</w:t>
      </w:r>
    </w:p>
    <w:p w14:paraId="00693032">
      <w:pPr>
        <w:ind w:firstLine="588" w:firstLineChars="196"/>
        <w:rPr>
          <w:rFonts w:ascii="仿宋" w:hAnsi="仿宋" w:eastAsia="仿宋"/>
          <w:sz w:val="30"/>
          <w:szCs w:val="30"/>
        </w:rPr>
      </w:pPr>
      <w:r>
        <w:rPr>
          <w:rFonts w:hint="eastAsia" w:ascii="仿宋" w:hAnsi="仿宋" w:eastAsia="仿宋"/>
          <w:sz w:val="30"/>
          <w:szCs w:val="30"/>
        </w:rPr>
        <w:t>（二十三）负责制定全区行政事业单位国有资产管理的规章制度及相关标准并组织实施。</w:t>
      </w:r>
    </w:p>
    <w:p w14:paraId="4C659DF8">
      <w:pPr>
        <w:ind w:firstLine="588" w:firstLineChars="196"/>
        <w:rPr>
          <w:rFonts w:ascii="仿宋" w:hAnsi="仿宋" w:eastAsia="仿宋"/>
          <w:sz w:val="30"/>
          <w:szCs w:val="30"/>
        </w:rPr>
      </w:pPr>
      <w:r>
        <w:rPr>
          <w:rFonts w:hint="eastAsia" w:ascii="仿宋" w:hAnsi="仿宋" w:eastAsia="仿宋"/>
          <w:sz w:val="30"/>
          <w:szCs w:val="30"/>
        </w:rPr>
        <w:t>（二十四）根据高新区管委会授权，依照《中华人民共和国企业国有资产法》、《中华人民共和国公司法》等法律、法规和规章履行出资人（金融资本除外）职责，监管出资企业（金融企业除外）国有资产，加强国有资产管理工作。</w:t>
      </w:r>
    </w:p>
    <w:p w14:paraId="23FF8180">
      <w:pPr>
        <w:ind w:firstLine="588" w:firstLineChars="196"/>
        <w:rPr>
          <w:rFonts w:ascii="仿宋" w:hAnsi="仿宋" w:eastAsia="仿宋"/>
          <w:sz w:val="30"/>
          <w:szCs w:val="30"/>
        </w:rPr>
      </w:pPr>
      <w:r>
        <w:rPr>
          <w:rFonts w:hint="eastAsia" w:ascii="仿宋" w:hAnsi="仿宋" w:eastAsia="仿宋"/>
          <w:sz w:val="30"/>
          <w:szCs w:val="30"/>
        </w:rPr>
        <w:t>（二十五）按照规定负责企业国有资产基础管理，制定国有资产监督管理的有关政策和规章制度并监督执行。</w:t>
      </w:r>
    </w:p>
    <w:p w14:paraId="42A41667">
      <w:pPr>
        <w:ind w:firstLine="588" w:firstLineChars="196"/>
        <w:rPr>
          <w:rFonts w:ascii="仿宋" w:hAnsi="仿宋" w:eastAsia="仿宋"/>
          <w:sz w:val="30"/>
          <w:szCs w:val="30"/>
        </w:rPr>
      </w:pPr>
      <w:r>
        <w:rPr>
          <w:rFonts w:hint="eastAsia" w:ascii="仿宋" w:hAnsi="仿宋" w:eastAsia="仿宋"/>
          <w:sz w:val="30"/>
          <w:szCs w:val="30"/>
        </w:rPr>
        <w:t>（二十六）负责指导推进全区国有企业改革和重组，推进国有企业的现代企业制度建设，完善公司法人治理结构，推动国有经济布局、结构优化和战略性调整。</w:t>
      </w:r>
    </w:p>
    <w:p w14:paraId="65C940BB">
      <w:pPr>
        <w:ind w:firstLine="588" w:firstLineChars="196"/>
        <w:rPr>
          <w:rFonts w:ascii="仿宋" w:hAnsi="仿宋" w:eastAsia="仿宋"/>
          <w:sz w:val="30"/>
          <w:szCs w:val="30"/>
        </w:rPr>
      </w:pPr>
      <w:r>
        <w:rPr>
          <w:rFonts w:hint="eastAsia" w:ascii="仿宋" w:hAnsi="仿宋" w:eastAsia="仿宋"/>
          <w:sz w:val="30"/>
          <w:szCs w:val="30"/>
        </w:rPr>
        <w:t>（二十七）承担监督所监管企业国有资产保值增值的责任，指导和监督所监管企业资本运营，建立和完善国有资产保值增值指标体系，拟订考核标准，对所监管企业国有资产的保值增值情况进行监督，维护国有资产出资人的权益。负责所监管企业工资分配管理，制定所监管企业负责人收入分配政策并组织实施。</w:t>
      </w:r>
    </w:p>
    <w:p w14:paraId="21C9E9D3">
      <w:pPr>
        <w:ind w:firstLine="588" w:firstLineChars="196"/>
        <w:rPr>
          <w:rFonts w:ascii="仿宋" w:hAnsi="仿宋" w:eastAsia="仿宋"/>
          <w:sz w:val="30"/>
          <w:szCs w:val="30"/>
        </w:rPr>
      </w:pPr>
      <w:r>
        <w:rPr>
          <w:rFonts w:hint="eastAsia" w:ascii="仿宋" w:hAnsi="仿宋" w:eastAsia="仿宋"/>
          <w:sz w:val="30"/>
          <w:szCs w:val="30"/>
        </w:rPr>
        <w:t>（二十八）按管理权限负责对所监管企业负责人进行考核并根据其经营业绩进行奖惩，建立符合社会主义市场经济体制和现代企业制度要求的选人、用人机制，完善经营者激励和约束制度。</w:t>
      </w:r>
    </w:p>
    <w:p w14:paraId="3EF2F9C7">
      <w:pPr>
        <w:ind w:firstLine="588" w:firstLineChars="196"/>
        <w:rPr>
          <w:rFonts w:ascii="仿宋" w:hAnsi="仿宋" w:eastAsia="仿宋"/>
          <w:sz w:val="30"/>
          <w:szCs w:val="30"/>
        </w:rPr>
      </w:pPr>
      <w:r>
        <w:rPr>
          <w:rFonts w:hint="eastAsia" w:ascii="仿宋" w:hAnsi="仿宋" w:eastAsia="仿宋"/>
          <w:sz w:val="30"/>
          <w:szCs w:val="30"/>
        </w:rPr>
        <w:t>（二十九）研究提出支持国有企业改革和发展的财政政策，管理支持国有企业改革的相关专项资金，编制高新区国有资本经营预决算草案并组织预算执行，负责国有资本经营预算资金的收支管理。</w:t>
      </w:r>
    </w:p>
    <w:p w14:paraId="6B6144AA">
      <w:pPr>
        <w:ind w:firstLine="588" w:firstLineChars="196"/>
        <w:rPr>
          <w:rFonts w:ascii="仿宋" w:hAnsi="仿宋" w:eastAsia="仿宋"/>
          <w:sz w:val="30"/>
          <w:szCs w:val="30"/>
        </w:rPr>
      </w:pPr>
      <w:r>
        <w:rPr>
          <w:rFonts w:hint="eastAsia" w:ascii="仿宋" w:hAnsi="仿宋" w:eastAsia="仿宋"/>
          <w:sz w:val="30"/>
          <w:szCs w:val="30"/>
        </w:rPr>
        <w:t>（三十）负责监督国有资产监管制度落实情况，完善出资人监督体系，制定国有资产监管信息化建设总体规划，推动建立出资人监管信息化工作平台，加强监督协同，健全并执行国有资产损失责任追究制度和问责机制。</w:t>
      </w:r>
    </w:p>
    <w:p w14:paraId="2E295A64">
      <w:pPr>
        <w:ind w:firstLine="588" w:firstLineChars="196"/>
        <w:rPr>
          <w:rFonts w:ascii="仿宋" w:hAnsi="仿宋" w:eastAsia="仿宋"/>
          <w:sz w:val="30"/>
          <w:szCs w:val="30"/>
        </w:rPr>
      </w:pPr>
      <w:r>
        <w:rPr>
          <w:rFonts w:hint="eastAsia" w:ascii="仿宋" w:hAnsi="仿宋" w:eastAsia="仿宋"/>
          <w:sz w:val="30"/>
          <w:szCs w:val="30"/>
        </w:rPr>
        <w:t>（三十一）按照出资人职责，督促检查所监管企业贯彻落实国家和省、市安全生产政策及有关法律、法规、规章及标准等工作。</w:t>
      </w:r>
    </w:p>
    <w:p w14:paraId="1CBBABD1">
      <w:pPr>
        <w:ind w:firstLine="588" w:firstLineChars="196"/>
        <w:rPr>
          <w:rFonts w:ascii="仿宋" w:hAnsi="仿宋" w:eastAsia="仿宋"/>
          <w:sz w:val="30"/>
          <w:szCs w:val="30"/>
        </w:rPr>
      </w:pPr>
      <w:r>
        <w:rPr>
          <w:rFonts w:hint="eastAsia" w:ascii="仿宋" w:hAnsi="仿宋" w:eastAsia="仿宋"/>
          <w:sz w:val="30"/>
          <w:szCs w:val="30"/>
        </w:rPr>
        <w:t>（三十二）负责所监管企业党的组织建设、队伍建设等工作，强化所监管企业思想政治教育和理论学习工作，指导企业精神文明和企业文化建设。</w:t>
      </w:r>
    </w:p>
    <w:p w14:paraId="2E9B5A3F">
      <w:pPr>
        <w:ind w:firstLine="588" w:firstLineChars="196"/>
        <w:rPr>
          <w:rFonts w:ascii="仿宋" w:hAnsi="仿宋" w:eastAsia="仿宋"/>
          <w:sz w:val="30"/>
          <w:szCs w:val="30"/>
        </w:rPr>
      </w:pPr>
      <w:r>
        <w:rPr>
          <w:rFonts w:hint="eastAsia" w:ascii="仿宋" w:hAnsi="仿宋" w:eastAsia="仿宋"/>
          <w:sz w:val="30"/>
          <w:szCs w:val="30"/>
        </w:rPr>
        <w:t>（三十三）加强租赁资产管理，制定相关政策，保证园区的产业发展需要并督促检查租赁资产的收益收缴。</w:t>
      </w:r>
    </w:p>
    <w:p w14:paraId="7F808CB3">
      <w:pPr>
        <w:ind w:firstLine="588" w:firstLineChars="196"/>
        <w:rPr>
          <w:rFonts w:ascii="仿宋" w:hAnsi="仿宋" w:eastAsia="仿宋"/>
          <w:sz w:val="30"/>
          <w:szCs w:val="30"/>
        </w:rPr>
      </w:pPr>
      <w:r>
        <w:rPr>
          <w:rFonts w:hint="eastAsia" w:ascii="仿宋" w:hAnsi="仿宋" w:eastAsia="仿宋"/>
          <w:sz w:val="30"/>
          <w:szCs w:val="30"/>
        </w:rPr>
        <w:t>（三十四）负责全区国有企业党建工作的综合协调、政策落实、指导检查。</w:t>
      </w:r>
    </w:p>
    <w:p w14:paraId="5B61F877">
      <w:pPr>
        <w:ind w:firstLine="588" w:firstLineChars="196"/>
        <w:rPr>
          <w:rFonts w:ascii="仿宋" w:hAnsi="仿宋" w:eastAsia="仿宋"/>
          <w:sz w:val="30"/>
          <w:szCs w:val="30"/>
        </w:rPr>
      </w:pPr>
      <w:r>
        <w:rPr>
          <w:rFonts w:hint="eastAsia" w:ascii="仿宋" w:hAnsi="仿宋" w:eastAsia="仿宋"/>
          <w:sz w:val="30"/>
          <w:szCs w:val="30"/>
        </w:rPr>
        <w:t>（三十五）完成区党工委、管委会交办的其他工作。</w:t>
      </w:r>
    </w:p>
    <w:p w14:paraId="30E9678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1FD4892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年财政金融局部门预算为本部综合收支计划，无二级单位。</w:t>
      </w:r>
    </w:p>
    <w:p w14:paraId="00636C29">
      <w:pPr>
        <w:widowControl/>
        <w:spacing w:line="330" w:lineRule="atLeast"/>
        <w:ind w:firstLine="600" w:firstLineChars="200"/>
        <w:jc w:val="left"/>
        <w:rPr>
          <w:rFonts w:ascii="仿宋" w:hAnsi="仿宋" w:eastAsia="仿宋" w:cs="仿宋"/>
          <w:color w:val="000000"/>
          <w:kern w:val="0"/>
          <w:sz w:val="30"/>
          <w:szCs w:val="30"/>
        </w:rPr>
      </w:pPr>
    </w:p>
    <w:p w14:paraId="6687CE3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41A4F00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一、总体说明</w:t>
      </w:r>
    </w:p>
    <w:p w14:paraId="43EBAD8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w:t>
      </w:r>
      <w:r>
        <w:rPr>
          <w:rFonts w:hint="eastAsia" w:ascii="仿宋_GB2312" w:eastAsia="仿宋_GB2312"/>
          <w:sz w:val="32"/>
          <w:szCs w:val="32"/>
        </w:rPr>
        <w:t>16378.88</w:t>
      </w:r>
      <w:r>
        <w:rPr>
          <w:rFonts w:hint="eastAsia" w:ascii="仿宋" w:hAnsi="仿宋" w:eastAsia="仿宋" w:cs="仿宋"/>
          <w:color w:val="000000"/>
          <w:kern w:val="0"/>
          <w:sz w:val="30"/>
          <w:szCs w:val="30"/>
        </w:rPr>
        <w:t>万元；支出包括：工资福利和对个人家庭补助支出</w:t>
      </w:r>
      <w:r>
        <w:rPr>
          <w:rFonts w:hint="eastAsia" w:ascii="仿宋" w:hAnsi="仿宋" w:eastAsia="仿宋" w:cs="仿宋"/>
          <w:color w:val="000000"/>
          <w:kern w:val="0"/>
          <w:sz w:val="30"/>
          <w:szCs w:val="30"/>
          <w:lang w:val="en-US" w:eastAsia="zh-CN"/>
        </w:rPr>
        <w:t>925.75</w:t>
      </w:r>
      <w:r>
        <w:rPr>
          <w:rFonts w:hint="eastAsia" w:ascii="仿宋" w:hAnsi="仿宋" w:eastAsia="仿宋" w:cs="仿宋"/>
          <w:color w:val="000000"/>
          <w:kern w:val="0"/>
          <w:sz w:val="30"/>
          <w:szCs w:val="30"/>
        </w:rPr>
        <w:t>万元，商品和服务支出</w:t>
      </w:r>
      <w:r>
        <w:rPr>
          <w:rFonts w:hint="eastAsia" w:ascii="仿宋" w:hAnsi="仿宋" w:eastAsia="仿宋" w:cs="仿宋"/>
          <w:color w:val="000000"/>
          <w:kern w:val="0"/>
          <w:sz w:val="30"/>
          <w:szCs w:val="30"/>
          <w:lang w:val="en-US" w:eastAsia="zh-CN"/>
        </w:rPr>
        <w:t>1545313</w:t>
      </w:r>
      <w:r>
        <w:rPr>
          <w:rFonts w:hint="eastAsia" w:ascii="仿宋" w:hAnsi="仿宋" w:eastAsia="仿宋" w:cs="仿宋"/>
          <w:color w:val="000000"/>
          <w:kern w:val="0"/>
          <w:sz w:val="30"/>
          <w:szCs w:val="30"/>
        </w:rPr>
        <w:t>万元</w:t>
      </w:r>
      <w:r>
        <w:rPr>
          <w:rFonts w:hint="eastAsia" w:ascii="仿宋_GB2312" w:eastAsia="仿宋_GB2312" w:cs="仿宋_GB2312"/>
          <w:sz w:val="32"/>
          <w:szCs w:val="32"/>
        </w:rPr>
        <w:t>（含专项经费15425.97万元）</w:t>
      </w:r>
      <w:r>
        <w:rPr>
          <w:rFonts w:hint="eastAsia" w:ascii="仿宋" w:hAnsi="仿宋" w:eastAsia="仿宋" w:cs="仿宋"/>
          <w:color w:val="000000"/>
          <w:kern w:val="0"/>
          <w:sz w:val="30"/>
          <w:szCs w:val="30"/>
        </w:rPr>
        <w:t>。全部为一般公共预算收支，无政府性基金预算收支，无国有资本经营预算收支。比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年预算数</w:t>
      </w:r>
      <w:r>
        <w:rPr>
          <w:rFonts w:hint="eastAsia" w:ascii="仿宋" w:hAnsi="仿宋" w:eastAsia="仿宋" w:cs="仿宋"/>
          <w:color w:val="000000"/>
          <w:kern w:val="0"/>
          <w:sz w:val="30"/>
          <w:szCs w:val="30"/>
          <w:lang w:eastAsia="zh-CN"/>
        </w:rPr>
        <w:t>减少</w:t>
      </w:r>
      <w:r>
        <w:rPr>
          <w:rFonts w:hint="eastAsia" w:ascii="仿宋" w:hAnsi="仿宋" w:eastAsia="仿宋" w:cs="仿宋"/>
          <w:color w:val="000000"/>
          <w:kern w:val="0"/>
          <w:sz w:val="30"/>
          <w:szCs w:val="30"/>
          <w:lang w:val="en-US" w:eastAsia="zh-CN"/>
        </w:rPr>
        <w:t>14395.25</w:t>
      </w:r>
      <w:r>
        <w:rPr>
          <w:rFonts w:hint="eastAsia" w:ascii="仿宋" w:hAnsi="仿宋" w:eastAsia="仿宋" w:cs="仿宋"/>
          <w:color w:val="000000"/>
          <w:kern w:val="0"/>
          <w:sz w:val="30"/>
          <w:szCs w:val="30"/>
        </w:rPr>
        <w:t>万元，其中工资福利和对个人家庭补助支出增加</w:t>
      </w:r>
      <w:r>
        <w:rPr>
          <w:rFonts w:hint="eastAsia" w:ascii="仿宋" w:hAnsi="仿宋" w:eastAsia="仿宋" w:cs="仿宋"/>
          <w:color w:val="000000"/>
          <w:kern w:val="0"/>
          <w:sz w:val="30"/>
          <w:szCs w:val="30"/>
          <w:lang w:val="en-US" w:eastAsia="zh-CN"/>
        </w:rPr>
        <w:t>137.63</w:t>
      </w:r>
      <w:r>
        <w:rPr>
          <w:rFonts w:hint="eastAsia" w:ascii="仿宋" w:hAnsi="仿宋" w:eastAsia="仿宋" w:cs="仿宋"/>
          <w:color w:val="000000"/>
          <w:kern w:val="0"/>
          <w:sz w:val="30"/>
          <w:szCs w:val="30"/>
        </w:rPr>
        <w:t>万元，商品和服务支出</w:t>
      </w:r>
      <w:r>
        <w:rPr>
          <w:rFonts w:hint="eastAsia" w:ascii="仿宋" w:hAnsi="仿宋" w:eastAsia="仿宋" w:cs="仿宋"/>
          <w:color w:val="000000"/>
          <w:kern w:val="0"/>
          <w:sz w:val="30"/>
          <w:szCs w:val="30"/>
          <w:lang w:eastAsia="zh-CN"/>
        </w:rPr>
        <w:t>减少</w:t>
      </w:r>
      <w:r>
        <w:rPr>
          <w:rFonts w:hint="eastAsia" w:ascii="仿宋" w:hAnsi="仿宋" w:eastAsia="仿宋" w:cs="仿宋"/>
          <w:color w:val="000000"/>
          <w:kern w:val="0"/>
          <w:sz w:val="30"/>
          <w:szCs w:val="30"/>
          <w:lang w:val="en-US" w:eastAsia="zh-CN"/>
        </w:rPr>
        <w:t>14532.88</w:t>
      </w:r>
      <w:r>
        <w:rPr>
          <w:rFonts w:hint="eastAsia" w:ascii="仿宋" w:hAnsi="仿宋" w:eastAsia="仿宋" w:cs="仿宋"/>
          <w:color w:val="000000"/>
          <w:kern w:val="0"/>
          <w:sz w:val="30"/>
          <w:szCs w:val="30"/>
        </w:rPr>
        <w:t>万元。</w:t>
      </w:r>
    </w:p>
    <w:p w14:paraId="0B05663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二、“三公”经费预算情况说明</w:t>
      </w:r>
    </w:p>
    <w:p w14:paraId="52609B5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无“三公”经费预算事项</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与去年相同。主要是按照中央及市委、市政府关于厉行节约、改进工作作风、密切联系群众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hint="eastAsia" w:ascii="仿宋" w:hAnsi="仿宋" w:eastAsia="仿宋" w:cs="仿宋"/>
          <w:color w:val="000000"/>
          <w:kern w:val="0"/>
          <w:sz w:val="30"/>
          <w:szCs w:val="30"/>
        </w:rPr>
        <w:t>等有关要求，严格控制“三公”经费支出。</w:t>
      </w:r>
    </w:p>
    <w:p w14:paraId="170BACAF">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三、机关运行经费安排情况说明</w:t>
      </w:r>
    </w:p>
    <w:p w14:paraId="6520B864">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机关运行经费包括定额公用经费</w:t>
      </w:r>
      <w:r>
        <w:rPr>
          <w:rFonts w:hint="eastAsia" w:ascii="仿宋" w:hAnsi="仿宋" w:eastAsia="仿宋" w:cs="仿宋"/>
          <w:kern w:val="0"/>
          <w:sz w:val="30"/>
          <w:szCs w:val="30"/>
          <w:lang w:val="en-US" w:eastAsia="zh-CN"/>
        </w:rPr>
        <w:t>27.16</w:t>
      </w:r>
      <w:r>
        <w:rPr>
          <w:rFonts w:hint="eastAsia" w:ascii="仿宋" w:hAnsi="仿宋" w:eastAsia="仿宋" w:cs="仿宋"/>
          <w:kern w:val="0"/>
          <w:sz w:val="30"/>
          <w:szCs w:val="30"/>
        </w:rPr>
        <w:t>万元。与去年比无变化。</w:t>
      </w:r>
    </w:p>
    <w:p w14:paraId="47D9B323">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四、政府采购情况说明</w:t>
      </w:r>
    </w:p>
    <w:p w14:paraId="22E398F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资产评估服务费用</w:t>
      </w:r>
      <w:r>
        <w:rPr>
          <w:rFonts w:hint="eastAsia" w:ascii="仿宋" w:hAnsi="仿宋" w:eastAsia="仿宋" w:cs="仿宋"/>
          <w:color w:val="000000"/>
          <w:kern w:val="0"/>
          <w:sz w:val="30"/>
          <w:szCs w:val="30"/>
          <w:lang w:val="en-US" w:eastAsia="zh-CN"/>
        </w:rPr>
        <w:t>60万元</w:t>
      </w:r>
      <w:r>
        <w:rPr>
          <w:rFonts w:hint="eastAsia" w:ascii="仿宋" w:hAnsi="仿宋" w:eastAsia="仿宋" w:cs="仿宋"/>
          <w:color w:val="000000"/>
          <w:kern w:val="0"/>
          <w:sz w:val="30"/>
          <w:szCs w:val="30"/>
        </w:rPr>
        <w:t>；造价审核费用</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2024年</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1050万元</w:t>
      </w:r>
      <w:r>
        <w:rPr>
          <w:rFonts w:hint="eastAsia" w:ascii="仿宋" w:hAnsi="仿宋" w:eastAsia="仿宋" w:cs="仿宋"/>
          <w:color w:val="000000"/>
          <w:kern w:val="0"/>
          <w:sz w:val="30"/>
          <w:szCs w:val="30"/>
        </w:rPr>
        <w:t>；购买第三方会计服务费</w:t>
      </w:r>
      <w:r>
        <w:rPr>
          <w:rFonts w:hint="eastAsia" w:ascii="仿宋" w:hAnsi="仿宋" w:eastAsia="仿宋" w:cs="仿宋"/>
          <w:color w:val="000000"/>
          <w:kern w:val="0"/>
          <w:sz w:val="30"/>
          <w:szCs w:val="30"/>
          <w:lang w:val="en-US" w:eastAsia="zh-CN"/>
        </w:rPr>
        <w:t>57</w:t>
      </w:r>
      <w:r>
        <w:rPr>
          <w:rFonts w:hint="eastAsia" w:ascii="仿宋" w:hAnsi="仿宋" w:eastAsia="仿宋" w:cs="仿宋"/>
          <w:color w:val="000000"/>
          <w:kern w:val="0"/>
          <w:sz w:val="30"/>
          <w:szCs w:val="30"/>
        </w:rPr>
        <w:t>万元。</w:t>
      </w:r>
    </w:p>
    <w:p w14:paraId="098F53F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650D57B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30B53F2C">
      <w:pPr>
        <w:spacing w:line="330" w:lineRule="atLeast"/>
        <w:ind w:firstLine="600" w:firstLineChars="200"/>
        <w:rPr>
          <w:rFonts w:ascii="仿宋" w:hAnsi="仿宋" w:eastAsia="仿宋" w:cs="仿宋"/>
          <w:kern w:val="0"/>
          <w:sz w:val="30"/>
          <w:szCs w:val="30"/>
        </w:rPr>
      </w:pPr>
      <w:r>
        <w:rPr>
          <w:rFonts w:hint="eastAsia" w:ascii="仿宋" w:hAnsi="仿宋" w:eastAsia="仿宋" w:cs="仿宋"/>
          <w:kern w:val="0"/>
          <w:sz w:val="30"/>
          <w:szCs w:val="30"/>
        </w:rPr>
        <w:t>六、国有资产占有使用情况说明</w:t>
      </w:r>
    </w:p>
    <w:p w14:paraId="736C76E2">
      <w:pPr>
        <w:spacing w:line="330" w:lineRule="atLeast"/>
        <w:ind w:firstLine="600" w:firstLineChars="200"/>
        <w:rPr>
          <w:rFonts w:ascii="仿宋" w:hAnsi="仿宋" w:eastAsia="仿宋" w:cs="仿宋"/>
          <w:kern w:val="0"/>
          <w:sz w:val="30"/>
          <w:szCs w:val="30"/>
        </w:rPr>
      </w:pPr>
      <w:r>
        <w:rPr>
          <w:rFonts w:hint="eastAsia" w:ascii="仿宋" w:hAnsi="仿宋" w:eastAsia="仿宋" w:cs="仿宋"/>
          <w:kern w:val="0"/>
          <w:sz w:val="30"/>
          <w:szCs w:val="30"/>
        </w:rPr>
        <w:t>国有资产占有使用情况说明为：截至202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年12月31日，部门（单位）共有车辆0辆；单位价值50万元（含）以上通用设备0台（套）；单位价值100万元以上专用设备0台（套）。</w:t>
      </w:r>
    </w:p>
    <w:p w14:paraId="5C37790F">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七、预算绩效管理情况</w:t>
      </w:r>
    </w:p>
    <w:p w14:paraId="2E5D1418">
      <w:pPr>
        <w:ind w:firstLine="600" w:firstLineChars="200"/>
        <w:rPr>
          <w:rFonts w:ascii="仿宋" w:hAnsi="仿宋" w:eastAsia="仿宋" w:cs="Verdana"/>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w:t>
      </w:r>
      <w:r>
        <w:rPr>
          <w:rFonts w:hint="eastAsia" w:ascii="仿宋" w:hAnsi="仿宋" w:eastAsia="仿宋" w:cs="Verdana"/>
          <w:kern w:val="0"/>
          <w:sz w:val="30"/>
          <w:szCs w:val="30"/>
          <w:lang w:val="en-US" w:eastAsia="zh-CN"/>
        </w:rPr>
        <w:t>4</w:t>
      </w:r>
      <w:r>
        <w:rPr>
          <w:rFonts w:hint="eastAsia" w:ascii="仿宋" w:hAnsi="仿宋" w:eastAsia="仿宋" w:cs="Verdana"/>
          <w:kern w:val="0"/>
          <w:sz w:val="30"/>
          <w:szCs w:val="30"/>
        </w:rPr>
        <w:t>年，按照“先有绩效，后有预算”原则，本部门共计编制绩效</w:t>
      </w:r>
      <w:r>
        <w:rPr>
          <w:rFonts w:hint="eastAsia" w:ascii="仿宋" w:hAnsi="仿宋" w:eastAsia="仿宋" w:cs="仿宋"/>
          <w:kern w:val="0"/>
          <w:sz w:val="30"/>
          <w:szCs w:val="30"/>
        </w:rPr>
        <w:t>目标</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个</w:t>
      </w:r>
      <w:r>
        <w:rPr>
          <w:rFonts w:hint="eastAsia" w:ascii="仿宋" w:hAnsi="仿宋" w:eastAsia="仿宋" w:cs="Verdana"/>
          <w:kern w:val="0"/>
          <w:sz w:val="30"/>
          <w:szCs w:val="30"/>
        </w:rPr>
        <w:t>，预算金额15425.97万元，占项目支出预算比重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15F78E4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八、财金局系统及软件运维费项目情况</w:t>
      </w:r>
    </w:p>
    <w:p w14:paraId="75A9C835">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1.项目概述</w:t>
      </w:r>
    </w:p>
    <w:p w14:paraId="2CE1865D">
      <w:pPr>
        <w:widowControl/>
        <w:spacing w:line="330" w:lineRule="atLeast"/>
        <w:ind w:firstLine="600" w:firstLineChars="200"/>
        <w:jc w:val="left"/>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依据上级财政部门统一要求及实际工作需求，对</w:t>
      </w:r>
      <w:r>
        <w:rPr>
          <w:rFonts w:hint="eastAsia" w:ascii="仿宋" w:hAnsi="仿宋" w:eastAsia="仿宋" w:cs="仿宋"/>
          <w:color w:val="000000"/>
          <w:kern w:val="0"/>
          <w:sz w:val="30"/>
          <w:szCs w:val="30"/>
        </w:rPr>
        <w:t>办公系统软件、账务系统软件、预算管理软件、票据软件</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国资管理软件、等系统软件进行常规维护，保障正常运行，提高工作效率。</w:t>
      </w:r>
    </w:p>
    <w:p w14:paraId="79EDF36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2.立项依据</w:t>
      </w:r>
    </w:p>
    <w:p w14:paraId="0537B65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上级财政部门统一工作部署</w:t>
      </w:r>
      <w:r>
        <w:rPr>
          <w:rFonts w:hint="eastAsia" w:ascii="仿宋" w:hAnsi="仿宋" w:eastAsia="仿宋" w:cs="仿宋"/>
          <w:color w:val="000000"/>
          <w:kern w:val="0"/>
          <w:sz w:val="30"/>
          <w:szCs w:val="30"/>
        </w:rPr>
        <w:t>。</w:t>
      </w:r>
    </w:p>
    <w:p w14:paraId="283C7DE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3.实施主体</w:t>
      </w:r>
    </w:p>
    <w:p w14:paraId="6302925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项目具体组织实施的部门：财政</w:t>
      </w:r>
      <w:r>
        <w:rPr>
          <w:rFonts w:hint="eastAsia" w:ascii="仿宋" w:hAnsi="仿宋" w:eastAsia="仿宋" w:cs="仿宋"/>
          <w:color w:val="000000"/>
          <w:kern w:val="0"/>
          <w:sz w:val="30"/>
          <w:szCs w:val="30"/>
          <w:lang w:val="en-US" w:eastAsia="zh-CN"/>
        </w:rPr>
        <w:t>金融</w:t>
      </w:r>
      <w:r>
        <w:rPr>
          <w:rFonts w:hint="eastAsia" w:ascii="仿宋" w:hAnsi="仿宋" w:eastAsia="仿宋" w:cs="仿宋"/>
          <w:color w:val="000000"/>
          <w:kern w:val="0"/>
          <w:sz w:val="30"/>
          <w:szCs w:val="30"/>
        </w:rPr>
        <w:t>局。</w:t>
      </w:r>
    </w:p>
    <w:p w14:paraId="57DE8E5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4.实施方案</w:t>
      </w:r>
    </w:p>
    <w:p w14:paraId="2F69229D">
      <w:pPr>
        <w:widowControl/>
        <w:spacing w:line="330" w:lineRule="atLeast"/>
        <w:ind w:firstLine="600" w:firstLineChars="200"/>
        <w:jc w:val="left"/>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采用委托专业机构的方式，</w:t>
      </w:r>
      <w:r>
        <w:rPr>
          <w:rFonts w:hint="eastAsia" w:ascii="仿宋" w:hAnsi="仿宋" w:eastAsia="仿宋" w:cs="仿宋"/>
          <w:color w:val="000000"/>
          <w:kern w:val="0"/>
          <w:sz w:val="30"/>
          <w:szCs w:val="30"/>
        </w:rPr>
        <w:t>为配备的办公系统软件、账务系统软件、预算管理软件、票据软件</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国资管理软件进行常规维护，保障正常运行。</w:t>
      </w:r>
    </w:p>
    <w:p w14:paraId="2FDE0E3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5.实施周期</w:t>
      </w:r>
    </w:p>
    <w:p w14:paraId="41D816F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项目从202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1</w:t>
      </w:r>
      <w:r>
        <w:rPr>
          <w:rFonts w:hint="eastAsia" w:ascii="仿宋" w:hAnsi="仿宋" w:eastAsia="仿宋" w:cs="仿宋"/>
          <w:color w:val="000000"/>
          <w:kern w:val="0"/>
          <w:sz w:val="30"/>
          <w:szCs w:val="30"/>
        </w:rPr>
        <w:t>月1日起始到202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年12月31日终止。按年度安排。</w:t>
      </w:r>
    </w:p>
    <w:p w14:paraId="166C9AC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6.年度预算安排</w:t>
      </w:r>
    </w:p>
    <w:p w14:paraId="47B510C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年拟安排该项目一般公共预算</w:t>
      </w:r>
      <w:r>
        <w:rPr>
          <w:rFonts w:hint="eastAsia" w:ascii="仿宋" w:hAnsi="仿宋" w:eastAsia="仿宋" w:cs="仿宋"/>
          <w:color w:val="000000"/>
          <w:kern w:val="0"/>
          <w:sz w:val="30"/>
          <w:szCs w:val="30"/>
          <w:lang w:val="en-US" w:eastAsia="zh-CN"/>
        </w:rPr>
        <w:t>69.85</w:t>
      </w:r>
      <w:r>
        <w:rPr>
          <w:rFonts w:hint="eastAsia" w:ascii="仿宋" w:hAnsi="仿宋" w:eastAsia="仿宋" w:cs="仿宋"/>
          <w:color w:val="000000"/>
          <w:kern w:val="0"/>
          <w:sz w:val="30"/>
          <w:szCs w:val="30"/>
        </w:rPr>
        <w:t>万元。</w:t>
      </w:r>
    </w:p>
    <w:p w14:paraId="1DD08E51">
      <w:pPr>
        <w:widowControl/>
        <w:spacing w:line="330" w:lineRule="atLeast"/>
        <w:ind w:firstLine="600" w:firstLineChars="200"/>
        <w:jc w:val="left"/>
        <w:rPr>
          <w:rFonts w:ascii="仿宋" w:hAnsi="仿宋" w:eastAsia="仿宋" w:cs="仿宋"/>
          <w:color w:val="000000"/>
          <w:kern w:val="0"/>
          <w:sz w:val="30"/>
          <w:szCs w:val="30"/>
        </w:rPr>
      </w:pPr>
    </w:p>
    <w:p w14:paraId="7B0C3C69">
      <w:pPr>
        <w:widowControl/>
        <w:spacing w:line="330" w:lineRule="atLeast"/>
        <w:ind w:firstLine="600" w:firstLineChars="200"/>
        <w:jc w:val="left"/>
        <w:rPr>
          <w:rFonts w:ascii="仿宋" w:hAnsi="仿宋" w:eastAsia="仿宋" w:cs="黑体"/>
          <w:color w:val="000000"/>
          <w:kern w:val="0"/>
          <w:sz w:val="30"/>
          <w:szCs w:val="30"/>
        </w:rPr>
      </w:pPr>
      <w:r>
        <w:rPr>
          <w:rFonts w:hint="eastAsia" w:ascii="仿宋" w:hAnsi="仿宋" w:eastAsia="仿宋" w:cs="黑体"/>
          <w:color w:val="000000"/>
          <w:kern w:val="0"/>
          <w:sz w:val="30"/>
          <w:szCs w:val="30"/>
        </w:rPr>
        <w:t>第三部分 名词解释</w:t>
      </w:r>
    </w:p>
    <w:p w14:paraId="16112A46">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财政拨款收入：指市财政当年拨付的资金。</w:t>
      </w:r>
      <w:r>
        <w:rPr>
          <w:rFonts w:ascii="仿宋" w:hAnsi="仿宋" w:eastAsia="仿宋" w:cs="仿宋"/>
          <w:color w:val="000000"/>
          <w:kern w:val="0"/>
          <w:sz w:val="32"/>
          <w:szCs w:val="32"/>
        </w:rPr>
        <w:t xml:space="preserve"> </w:t>
      </w:r>
    </w:p>
    <w:p w14:paraId="6E4DB453">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其他收入：指除“财政拨款收入”、“财政专户拨款收入”等以外的收入，包括事业单位经营性收入、上级补助收入、附属单位上缴收入等。</w:t>
      </w:r>
    </w:p>
    <w:p w14:paraId="3D5FC120">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基本支出：指为保障机构正常运转、完成日常工作任务而发生的人员支出和公用支出。</w:t>
      </w:r>
    </w:p>
    <w:p w14:paraId="1B6CFB3B">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项目支出：指在基本支出之外为完成特定行政任务和事业发展目标所发生的支出。</w:t>
      </w:r>
    </w:p>
    <w:p w14:paraId="63DEA301">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F23DF01">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一般公共服务（类）财政事务（款）行政运行（项）：反映行政单位（包括实行公务员管理的事业单位）的基本支出。</w:t>
      </w:r>
    </w:p>
    <w:p w14:paraId="112D74B2">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7.</w:t>
      </w:r>
      <w:r>
        <w:rPr>
          <w:rFonts w:hint="eastAsia" w:ascii="仿宋" w:hAnsi="仿宋" w:eastAsia="仿宋" w:cs="仿宋"/>
          <w:color w:val="000000"/>
          <w:kern w:val="0"/>
          <w:sz w:val="32"/>
          <w:szCs w:val="32"/>
        </w:rPr>
        <w:t>一般公共服务（类）财政事务（款）一般行政管理事务（项）：反映行政单位（包括实行公务员管理的事业单位）未单独设置项级科目的其他项目支出。</w:t>
      </w:r>
    </w:p>
    <w:p w14:paraId="56898C36">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8</w:t>
      </w:r>
      <w:r>
        <w:rPr>
          <w:rFonts w:hint="eastAsia" w:ascii="仿宋" w:hAnsi="仿宋" w:eastAsia="仿宋" w:cs="仿宋"/>
          <w:color w:val="000000"/>
          <w:kern w:val="0"/>
          <w:sz w:val="32"/>
          <w:szCs w:val="32"/>
        </w:rPr>
        <w:t>一般公共服务（类）财政事务（款）信息化建设（项）：反映财政部门用于“金财工程”等信息化建设方面的支出。</w:t>
      </w:r>
    </w:p>
    <w:p w14:paraId="7EC34DF9">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9.</w:t>
      </w:r>
      <w:r>
        <w:rPr>
          <w:rFonts w:hint="eastAsia" w:ascii="仿宋" w:hAnsi="仿宋" w:eastAsia="仿宋" w:cs="仿宋"/>
          <w:color w:val="000000"/>
          <w:kern w:val="0"/>
          <w:sz w:val="32"/>
          <w:szCs w:val="32"/>
        </w:rPr>
        <w:t>一般公共服务（类）财政事务（款）财政委托业务支出（项）：反映财政委托评审机构进行财政投资评审和委托建设银行等机构代理业务发生的支出。</w:t>
      </w:r>
    </w:p>
    <w:p w14:paraId="6FAA063B">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10. </w:t>
      </w:r>
      <w:r>
        <w:rPr>
          <w:rFonts w:hint="eastAsia" w:ascii="仿宋" w:hAnsi="仿宋" w:eastAsia="仿宋" w:cs="仿宋"/>
          <w:color w:val="000000"/>
          <w:kern w:val="0"/>
          <w:sz w:val="32"/>
          <w:szCs w:val="32"/>
        </w:rPr>
        <w:t>一般公共服务（类）财政事务（款）事业运行（项）：反映事业单位的基本支出，不包括行政单位（包括实行公务员管理的事业单位）后勤服务中心、医务室等附属事业单位。</w:t>
      </w:r>
    </w:p>
    <w:p w14:paraId="60E1DBB9">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11. </w:t>
      </w:r>
      <w:r>
        <w:rPr>
          <w:rFonts w:hint="eastAsia" w:ascii="仿宋" w:hAnsi="仿宋" w:eastAsia="仿宋" w:cs="仿宋"/>
          <w:color w:val="000000"/>
          <w:kern w:val="0"/>
          <w:sz w:val="32"/>
          <w:szCs w:val="32"/>
        </w:rPr>
        <w:t>一般公共服务（类）财政事务（款）其他财政事务支出（项）：反映其他财政事务方面的支出。</w:t>
      </w:r>
    </w:p>
    <w:p w14:paraId="41D043CA">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．教育支出（类）其他教育支出（款）其他教育支出（项）：反映其他用于教育方面的支出。</w:t>
      </w:r>
    </w:p>
    <w:p w14:paraId="6A2EE46E">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13. </w:t>
      </w:r>
      <w:r>
        <w:rPr>
          <w:rFonts w:hint="eastAsia" w:ascii="仿宋" w:hAnsi="仿宋" w:eastAsia="仿宋" w:cs="仿宋"/>
          <w:color w:val="000000"/>
          <w:kern w:val="0"/>
          <w:sz w:val="32"/>
          <w:szCs w:val="32"/>
        </w:rPr>
        <w:t>社会保障和就业（类）行政事业单位离退休（款）归口管理的行政单位离退休（项）：反映实行归口管理的行政单位（包括实行公务员管理的事业单位）开支的离退休经费。</w:t>
      </w:r>
    </w:p>
    <w:p w14:paraId="7B135DEF">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14. </w:t>
      </w:r>
      <w:r>
        <w:rPr>
          <w:rFonts w:hint="eastAsia" w:ascii="仿宋" w:hAnsi="仿宋" w:eastAsia="仿宋" w:cs="仿宋"/>
          <w:color w:val="000000"/>
          <w:kern w:val="0"/>
          <w:sz w:val="32"/>
          <w:szCs w:val="32"/>
        </w:rPr>
        <w:t>社会保障和就业（类）行政事业单位离退休（款）机关事业单位基本养老保险缴费支出（项）：反映机关事业单位实施养老保险制度由单位缴纳的基本养老保险费支出。</w:t>
      </w:r>
    </w:p>
    <w:p w14:paraId="6B57CF67">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15.</w:t>
      </w:r>
      <w:r>
        <w:rPr>
          <w:rFonts w:hint="eastAsia" w:ascii="仿宋" w:hAnsi="仿宋" w:eastAsia="仿宋" w:cs="仿宋"/>
          <w:color w:val="000000"/>
          <w:kern w:val="0"/>
          <w:sz w:val="32"/>
          <w:szCs w:val="32"/>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10C74FB7">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16.</w:t>
      </w:r>
      <w:r>
        <w:rPr>
          <w:rFonts w:hint="eastAsia" w:ascii="仿宋" w:hAnsi="仿宋" w:eastAsia="仿宋" w:cs="仿宋"/>
          <w:color w:val="000000"/>
          <w:kern w:val="0"/>
          <w:sz w:val="32"/>
          <w:szCs w:val="32"/>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2CCBFF17">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17.</w:t>
      </w:r>
      <w:r>
        <w:rPr>
          <w:rFonts w:hint="eastAsia" w:ascii="仿宋" w:hAnsi="仿宋" w:eastAsia="仿宋" w:cs="仿宋"/>
          <w:color w:val="000000"/>
          <w:kern w:val="0"/>
          <w:sz w:val="32"/>
          <w:szCs w:val="32"/>
        </w:rPr>
        <w:t>住房保障（类）住房改革（款）住房公积金（项）：反映行政事业单位按人力资源和社会保障部、财政部规定的基本工资和津贴补贴以及规定比例为职工缴纳的住房公积金。</w:t>
      </w:r>
    </w:p>
    <w:p w14:paraId="73FEAB8A">
      <w:pPr>
        <w:widowControl/>
        <w:spacing w:line="330" w:lineRule="atLeast"/>
        <w:ind w:firstLine="640" w:firstLineChars="200"/>
        <w:jc w:val="left"/>
        <w:rPr>
          <w:rFonts w:ascii="仿宋" w:hAnsi="仿宋" w:eastAsia="仿宋" w:cs="仿宋"/>
          <w:color w:val="000000"/>
          <w:kern w:val="0"/>
          <w:sz w:val="32"/>
          <w:szCs w:val="32"/>
        </w:rPr>
      </w:pPr>
      <w:r>
        <w:rPr>
          <w:rFonts w:ascii="仿宋" w:hAnsi="仿宋" w:eastAsia="仿宋" w:cs="仿宋"/>
          <w:color w:val="000000"/>
          <w:kern w:val="0"/>
          <w:sz w:val="32"/>
          <w:szCs w:val="32"/>
        </w:rPr>
        <w:t>18.</w:t>
      </w:r>
      <w:r>
        <w:rPr>
          <w:rFonts w:hint="eastAsia" w:ascii="仿宋" w:hAnsi="仿宋" w:eastAsia="仿宋" w:cs="仿宋"/>
          <w:color w:val="000000"/>
          <w:kern w:val="0"/>
          <w:sz w:val="32"/>
          <w:szCs w:val="32"/>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5FCD578E">
      <w:pPr>
        <w:widowControl/>
        <w:spacing w:line="330" w:lineRule="atLeast"/>
        <w:ind w:firstLine="640" w:firstLineChars="200"/>
        <w:jc w:val="left"/>
        <w:rPr>
          <w:rFonts w:ascii="仿宋" w:hAnsi="仿宋" w:eastAsia="仿宋" w:cs="仿宋"/>
          <w:color w:val="000000"/>
          <w:kern w:val="0"/>
          <w:sz w:val="32"/>
          <w:szCs w:val="32"/>
        </w:rPr>
      </w:pPr>
    </w:p>
    <w:p w14:paraId="0C09791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w:t>
      </w:r>
    </w:p>
    <w:p w14:paraId="602C935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年2月</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日</w:t>
      </w:r>
    </w:p>
    <w:sectPr>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60"/>
    <w:rsid w:val="000130C2"/>
    <w:rsid w:val="000136D0"/>
    <w:rsid w:val="00081E5F"/>
    <w:rsid w:val="00083F9F"/>
    <w:rsid w:val="000A047B"/>
    <w:rsid w:val="000A55C1"/>
    <w:rsid w:val="00101BE5"/>
    <w:rsid w:val="00104AD4"/>
    <w:rsid w:val="0010550E"/>
    <w:rsid w:val="00107F66"/>
    <w:rsid w:val="00164A2E"/>
    <w:rsid w:val="00165857"/>
    <w:rsid w:val="00184360"/>
    <w:rsid w:val="00187190"/>
    <w:rsid w:val="001961A4"/>
    <w:rsid w:val="001A5F2E"/>
    <w:rsid w:val="001D222A"/>
    <w:rsid w:val="001E3E93"/>
    <w:rsid w:val="00264775"/>
    <w:rsid w:val="00265F8B"/>
    <w:rsid w:val="002978DE"/>
    <w:rsid w:val="003003AA"/>
    <w:rsid w:val="00342DA2"/>
    <w:rsid w:val="003B50ED"/>
    <w:rsid w:val="003C65CD"/>
    <w:rsid w:val="003D6282"/>
    <w:rsid w:val="003E61DA"/>
    <w:rsid w:val="003F2AA1"/>
    <w:rsid w:val="003F4DFF"/>
    <w:rsid w:val="0040426F"/>
    <w:rsid w:val="004221E9"/>
    <w:rsid w:val="00447656"/>
    <w:rsid w:val="00463F5E"/>
    <w:rsid w:val="004A5963"/>
    <w:rsid w:val="004F505F"/>
    <w:rsid w:val="00516321"/>
    <w:rsid w:val="00550CE0"/>
    <w:rsid w:val="005926FC"/>
    <w:rsid w:val="00594FB5"/>
    <w:rsid w:val="005A04CC"/>
    <w:rsid w:val="005F4DCC"/>
    <w:rsid w:val="006065CB"/>
    <w:rsid w:val="00614500"/>
    <w:rsid w:val="006541E5"/>
    <w:rsid w:val="00685D7D"/>
    <w:rsid w:val="0069537D"/>
    <w:rsid w:val="006A098D"/>
    <w:rsid w:val="006A12FA"/>
    <w:rsid w:val="006A71B4"/>
    <w:rsid w:val="006B7060"/>
    <w:rsid w:val="006D57DD"/>
    <w:rsid w:val="006E1948"/>
    <w:rsid w:val="00705BDD"/>
    <w:rsid w:val="0072287B"/>
    <w:rsid w:val="0072794F"/>
    <w:rsid w:val="00753345"/>
    <w:rsid w:val="00753DCE"/>
    <w:rsid w:val="00753F26"/>
    <w:rsid w:val="00755C7B"/>
    <w:rsid w:val="007805EB"/>
    <w:rsid w:val="00793572"/>
    <w:rsid w:val="007A5690"/>
    <w:rsid w:val="007B12D0"/>
    <w:rsid w:val="007C5E3C"/>
    <w:rsid w:val="007F2396"/>
    <w:rsid w:val="007F23D9"/>
    <w:rsid w:val="0080427E"/>
    <w:rsid w:val="008207A6"/>
    <w:rsid w:val="00826E6F"/>
    <w:rsid w:val="00855E2A"/>
    <w:rsid w:val="008620BC"/>
    <w:rsid w:val="008641D1"/>
    <w:rsid w:val="008B01B8"/>
    <w:rsid w:val="008D2D31"/>
    <w:rsid w:val="008D58FD"/>
    <w:rsid w:val="009024E6"/>
    <w:rsid w:val="009156DD"/>
    <w:rsid w:val="009244A6"/>
    <w:rsid w:val="00941B10"/>
    <w:rsid w:val="00950732"/>
    <w:rsid w:val="00961681"/>
    <w:rsid w:val="009652AA"/>
    <w:rsid w:val="009848F0"/>
    <w:rsid w:val="009938F3"/>
    <w:rsid w:val="009A78B1"/>
    <w:rsid w:val="009B2FB1"/>
    <w:rsid w:val="009F1015"/>
    <w:rsid w:val="009F229D"/>
    <w:rsid w:val="009F3CA0"/>
    <w:rsid w:val="00A00B8D"/>
    <w:rsid w:val="00A07BC1"/>
    <w:rsid w:val="00A12672"/>
    <w:rsid w:val="00A150E4"/>
    <w:rsid w:val="00A23FDD"/>
    <w:rsid w:val="00A26A44"/>
    <w:rsid w:val="00A377FD"/>
    <w:rsid w:val="00A5549A"/>
    <w:rsid w:val="00A70656"/>
    <w:rsid w:val="00A7639E"/>
    <w:rsid w:val="00A924A6"/>
    <w:rsid w:val="00AC4A27"/>
    <w:rsid w:val="00AD2208"/>
    <w:rsid w:val="00B217F1"/>
    <w:rsid w:val="00B33C33"/>
    <w:rsid w:val="00B40E6C"/>
    <w:rsid w:val="00B54AF3"/>
    <w:rsid w:val="00B5698C"/>
    <w:rsid w:val="00B752D8"/>
    <w:rsid w:val="00C052C0"/>
    <w:rsid w:val="00C120E6"/>
    <w:rsid w:val="00C31EB1"/>
    <w:rsid w:val="00C4614C"/>
    <w:rsid w:val="00C67479"/>
    <w:rsid w:val="00C71EA1"/>
    <w:rsid w:val="00CD0DCF"/>
    <w:rsid w:val="00CF43DA"/>
    <w:rsid w:val="00CF6A95"/>
    <w:rsid w:val="00D10236"/>
    <w:rsid w:val="00D176CA"/>
    <w:rsid w:val="00D400F0"/>
    <w:rsid w:val="00D42A19"/>
    <w:rsid w:val="00D805F9"/>
    <w:rsid w:val="00D82E50"/>
    <w:rsid w:val="00D8515F"/>
    <w:rsid w:val="00DB53A7"/>
    <w:rsid w:val="00DC1136"/>
    <w:rsid w:val="00DC4538"/>
    <w:rsid w:val="00DC72D9"/>
    <w:rsid w:val="00DD605A"/>
    <w:rsid w:val="00DD67CE"/>
    <w:rsid w:val="00DF2079"/>
    <w:rsid w:val="00E10A69"/>
    <w:rsid w:val="00E13840"/>
    <w:rsid w:val="00E160F9"/>
    <w:rsid w:val="00E3090E"/>
    <w:rsid w:val="00E47AAE"/>
    <w:rsid w:val="00E53DE4"/>
    <w:rsid w:val="00E54978"/>
    <w:rsid w:val="00E679E1"/>
    <w:rsid w:val="00E77678"/>
    <w:rsid w:val="00E804EF"/>
    <w:rsid w:val="00E90F53"/>
    <w:rsid w:val="00E92801"/>
    <w:rsid w:val="00EA15E7"/>
    <w:rsid w:val="00EB6E55"/>
    <w:rsid w:val="00EB7ACB"/>
    <w:rsid w:val="00ED4198"/>
    <w:rsid w:val="00EE134B"/>
    <w:rsid w:val="00F01060"/>
    <w:rsid w:val="00F049A0"/>
    <w:rsid w:val="00F251AC"/>
    <w:rsid w:val="00F3049A"/>
    <w:rsid w:val="00F3433C"/>
    <w:rsid w:val="00F43152"/>
    <w:rsid w:val="00F456B0"/>
    <w:rsid w:val="00F651DA"/>
    <w:rsid w:val="00F713C4"/>
    <w:rsid w:val="00F73D0F"/>
    <w:rsid w:val="00F76F83"/>
    <w:rsid w:val="00F94B86"/>
    <w:rsid w:val="00F9666A"/>
    <w:rsid w:val="00FC327D"/>
    <w:rsid w:val="00FC5228"/>
    <w:rsid w:val="00FD042E"/>
    <w:rsid w:val="00FD7251"/>
    <w:rsid w:val="00FE1977"/>
    <w:rsid w:val="00FE4079"/>
    <w:rsid w:val="37C233B7"/>
    <w:rsid w:val="472E1041"/>
    <w:rsid w:val="4A325EE3"/>
    <w:rsid w:val="4BC62ED3"/>
    <w:rsid w:val="57B2781A"/>
    <w:rsid w:val="589A6C32"/>
    <w:rsid w:val="64C66489"/>
    <w:rsid w:val="660127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semiHidden/>
    <w:qFormat/>
    <w:locked/>
    <w:uiPriority w:val="99"/>
    <w:rPr>
      <w:rFonts w:ascii="Times New Roman" w:hAnsi="Times New Roman" w:eastAsia="宋体" w:cs="Times New Roman"/>
      <w:sz w:val="18"/>
      <w:szCs w:val="18"/>
    </w:rPr>
  </w:style>
  <w:style w:type="character" w:customStyle="1" w:styleId="7">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4476</Words>
  <Characters>4611</Characters>
  <Lines>35</Lines>
  <Paragraphs>9</Paragraphs>
  <TotalTime>7</TotalTime>
  <ScaleCrop>false</ScaleCrop>
  <LinksUpToDate>false</LinksUpToDate>
  <CharactersWithSpaces>4913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2025-02-17T02:30:00Z</cp:lastPrinted>
  <dcterms:modified xsi:type="dcterms:W3CDTF">2025-12-25T06:50:06Z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29C96976769D433392D3FFDA43E44958_13</vt:lpwstr>
  </property>
  <property fmtid="{D5CDD505-2E9C-101B-9397-08002B2CF9AE}" pid="4" name="KSOTemplateDocerSaveRecord">
    <vt:lpwstr>eyJoZGlkIjoiNzMzNGFhYTQwZDVjNjVmMDFlMTAxYjIwOTljNDhhZWQiLCJ1c2VySWQiOiIyMDEzOTMzNTkifQ==</vt:lpwstr>
  </property>
</Properties>
</file>