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370C">
      <w:pPr>
        <w:widowControl/>
        <w:spacing w:line="560" w:lineRule="exact"/>
        <w:jc w:val="center"/>
        <w:rPr>
          <w:rFonts w:ascii="方正小标宋简体" w:hAnsi="仿宋" w:eastAsia="方正小标宋简体" w:cs="仿宋"/>
          <w:b/>
          <w:bCs/>
          <w:sz w:val="44"/>
          <w:szCs w:val="44"/>
        </w:rPr>
      </w:pPr>
      <w:bookmarkStart w:id="3" w:name="_GoBack"/>
      <w:bookmarkEnd w:id="3"/>
      <w:r>
        <w:rPr>
          <w:rFonts w:hint="eastAsia" w:ascii="方正小标宋简体" w:hAnsi="仿宋" w:eastAsia="方正小标宋简体" w:cs="仿宋"/>
          <w:b/>
          <w:bCs/>
          <w:sz w:val="44"/>
          <w:szCs w:val="44"/>
        </w:rPr>
        <w:t>大连高新技术产业园区退役军人服务中心</w:t>
      </w:r>
    </w:p>
    <w:p w14:paraId="1C79D040">
      <w:pPr>
        <w:widowControl/>
        <w:spacing w:line="560" w:lineRule="exact"/>
        <w:jc w:val="center"/>
        <w:rPr>
          <w:rFonts w:ascii="方正小标宋简体" w:hAnsi="仿宋" w:eastAsia="方正小标宋简体"/>
          <w:b/>
          <w:bCs/>
          <w:sz w:val="44"/>
          <w:szCs w:val="44"/>
        </w:rPr>
      </w:pPr>
      <w:r>
        <w:rPr>
          <w:rFonts w:hint="eastAsia" w:ascii="方正小标宋简体" w:hAnsi="仿宋" w:eastAsia="方正小标宋简体" w:cs="仿宋"/>
          <w:b/>
          <w:bCs/>
          <w:sz w:val="44"/>
          <w:szCs w:val="44"/>
        </w:rPr>
        <w:t>202</w:t>
      </w:r>
      <w:r>
        <w:rPr>
          <w:rFonts w:hint="eastAsia" w:ascii="方正小标宋简体" w:hAnsi="仿宋" w:eastAsia="方正小标宋简体" w:cs="仿宋"/>
          <w:b/>
          <w:bCs/>
          <w:sz w:val="44"/>
          <w:szCs w:val="44"/>
          <w:lang w:val="en-US" w:eastAsia="zh-CN"/>
        </w:rPr>
        <w:t>4</w:t>
      </w:r>
      <w:r>
        <w:rPr>
          <w:rFonts w:hint="eastAsia" w:ascii="方正小标宋简体" w:hAnsi="仿宋" w:eastAsia="方正小标宋简体" w:cs="仿宋"/>
          <w:b/>
          <w:bCs/>
          <w:color w:val="000000"/>
          <w:kern w:val="0"/>
          <w:sz w:val="44"/>
          <w:szCs w:val="44"/>
        </w:rPr>
        <w:t>年部门预算</w:t>
      </w:r>
    </w:p>
    <w:p w14:paraId="350BF2A0">
      <w:pPr>
        <w:widowControl/>
        <w:spacing w:line="560" w:lineRule="exac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1C0627A0">
      <w:pPr>
        <w:widowControl/>
        <w:spacing w:line="560" w:lineRule="exact"/>
        <w:ind w:firstLine="640" w:firstLineChars="200"/>
        <w:jc w:val="left"/>
        <w:rPr>
          <w:rFonts w:ascii="黑体" w:hAnsi="黑体" w:eastAsia="黑体" w:cs="仿宋"/>
          <w:color w:val="000000"/>
          <w:kern w:val="0"/>
          <w:sz w:val="32"/>
          <w:szCs w:val="32"/>
        </w:rPr>
      </w:pPr>
      <w:r>
        <w:rPr>
          <w:rFonts w:hint="eastAsia" w:ascii="黑体" w:hAnsi="黑体" w:eastAsia="黑体" w:cs="仿宋"/>
          <w:color w:val="000000"/>
          <w:kern w:val="0"/>
          <w:sz w:val="32"/>
          <w:szCs w:val="32"/>
        </w:rPr>
        <w:t>第一部分</w:t>
      </w:r>
      <w:r>
        <w:rPr>
          <w:rFonts w:ascii="黑体" w:hAnsi="黑体" w:eastAsia="黑体" w:cs="仿宋"/>
          <w:color w:val="000000"/>
          <w:kern w:val="0"/>
          <w:sz w:val="32"/>
          <w:szCs w:val="32"/>
        </w:rPr>
        <w:t xml:space="preserve"> </w:t>
      </w:r>
      <w:r>
        <w:rPr>
          <w:rFonts w:hint="eastAsia" w:ascii="黑体" w:hAnsi="黑体" w:eastAsia="黑体" w:cs="仿宋"/>
          <w:color w:val="000000"/>
          <w:kern w:val="0"/>
          <w:sz w:val="32"/>
          <w:szCs w:val="32"/>
        </w:rPr>
        <w:t>部门概况</w:t>
      </w:r>
    </w:p>
    <w:p w14:paraId="64106745">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一、主要职责：</w:t>
      </w:r>
    </w:p>
    <w:p w14:paraId="6AD429E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1.贯彻落实国家、省、市关于退役军人思想政治、管理保障和安置优抚等工作的政策措施并组织实施。</w:t>
      </w:r>
    </w:p>
    <w:p w14:paraId="156F571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组织指导做好全区退役军人安置工作落实。负责全区军队转业干部、复员干部、离休退休干部、退役士兵、无军籍退休退职职工的移交安置工作和自主择业、逐月安置、就业创业退役军人等服务管理工作，负责做好退役军人思想政治理论宣传、关系转接、联络接待、困难帮扶、信息采集、情况反映、立功喜报、悬挂光荣牌、表彰典型、建档立卡等工作。推动将退役军人党员纳入党的基层组织，配合上级部门做好教育管理。负责自主择业干部、逐月领取退役金干部的年度审验，协助做好自主择业干部、逐月领取退役金干部、军队转业干部移交安置后的日常管理服务工作。负责指导下级退役军人服务站业务。承担数据分析，为上级业务部门提供政策决策依据等工作。</w:t>
      </w:r>
    </w:p>
    <w:p w14:paraId="0B4DB71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组织指导全区拥军优属工作。指导全区做好各类优抚对象服务管理和抚恤工作，保障落实各项优抚政策。配合有关部门做好全区烈士及退役军人荣誉奖励、烈士公墓管理维护和烈士褒扬工作、烈士纪念日活动，依法承担英雄烈士保护等相关工作。做好退役军人医疗保障、养老保险等待遇保障工作，承担区双拥工作领导小组和区军队转业干部安置工作领导小组的日常工作，做好"八一"、春节等节日以及重大节日走访慰问等具体活动。负责退役军人优待抚恤、褒扬纪念等服务工作，协调扶持退役军人和随军随调家属就业创业工作，做好未就业现役军人随军配偶货币化生活补贴初审工作。负责引导机关企事业单位、社会组织积极参与协助做好退役军人和各类优抚对象服务保障工作，形成全社会关爱退役军人的合力。</w:t>
      </w:r>
    </w:p>
    <w:p w14:paraId="65DCCE7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组织指导全区退役军人创业就业工作。负责搭建政策咨询、帮扶援助、沟通联系、学习交流等活动场所，负责提供就业创业服务，协助开展职业教育和技能培训，承办自主就业退役军人招聘会、推介会、就业论坛等。</w:t>
      </w:r>
    </w:p>
    <w:p w14:paraId="637A388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5.组织指导全区退役军人信访维稳工作、协助做好退役军人的来访接待工作，协助做好上级转办事项的办理工作，做好退役军人权益咨询和政策解答，做好涉及退役军人舆情的收集、引导等工作。</w:t>
      </w:r>
    </w:p>
    <w:p w14:paraId="2C13308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6.负责辖区灵活就业和公益性岗位企业军转干部生活补助金发放、采暖费补贴发放、公益性岗位管理等；负责辖区公益性岗位企业军转干部岗位工资发放及调整、社保缴纳、个税代缴等。</w:t>
      </w:r>
    </w:p>
    <w:p w14:paraId="6A9BF20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7.协助有关部门做好不适宜继续服役的伤病残军人相关工作和医疗保障服务工作。</w:t>
      </w:r>
    </w:p>
    <w:p w14:paraId="1CD1AE9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8.承担高新区党工委、管委会交办的其他工作。</w:t>
      </w:r>
    </w:p>
    <w:p w14:paraId="60B3F737">
      <w:pPr>
        <w:widowControl/>
        <w:spacing w:line="56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二、部门预算单位构成</w:t>
      </w:r>
    </w:p>
    <w:p w14:paraId="53CDCE8E">
      <w:pPr>
        <w:widowControl/>
        <w:spacing w:line="560" w:lineRule="exact"/>
        <w:ind w:firstLine="640" w:firstLineChars="200"/>
        <w:jc w:val="left"/>
        <w:rPr>
          <w:rFonts w:ascii="仿宋" w:hAnsi="仿宋" w:eastAsia="仿宋" w:cs="Verdana"/>
          <w:color w:val="000000"/>
          <w:kern w:val="0"/>
          <w:sz w:val="32"/>
          <w:szCs w:val="32"/>
        </w:rPr>
      </w:pPr>
      <w:r>
        <w:rPr>
          <w:rFonts w:hint="eastAsia" w:ascii="仿宋_GB2312" w:hAnsi="仿宋" w:eastAsia="仿宋_GB2312" w:cs="Verdana"/>
          <w:color w:val="000000"/>
          <w:kern w:val="0"/>
          <w:sz w:val="32"/>
          <w:szCs w:val="32"/>
        </w:rPr>
        <w:t>202</w:t>
      </w:r>
      <w:r>
        <w:rPr>
          <w:rFonts w:hint="eastAsia" w:ascii="仿宋_GB2312" w:hAnsi="仿宋" w:eastAsia="仿宋_GB2312" w:cs="Verdana"/>
          <w:color w:val="000000"/>
          <w:kern w:val="0"/>
          <w:sz w:val="32"/>
          <w:szCs w:val="32"/>
          <w:lang w:val="en-US" w:eastAsia="zh-CN"/>
        </w:rPr>
        <w:t>4</w:t>
      </w:r>
      <w:r>
        <w:rPr>
          <w:rFonts w:hint="eastAsia" w:ascii="仿宋_GB2312" w:hAnsi="仿宋" w:eastAsia="仿宋_GB2312" w:cs="Verdana"/>
          <w:color w:val="000000"/>
          <w:kern w:val="0"/>
          <w:sz w:val="32"/>
          <w:szCs w:val="32"/>
        </w:rPr>
        <w:t>年退役军人服务中心部门预算为本部门综合收支计划，无二级单位。</w:t>
      </w:r>
    </w:p>
    <w:p w14:paraId="7A96FF93">
      <w:pPr>
        <w:widowControl/>
        <w:spacing w:line="560" w:lineRule="exact"/>
        <w:ind w:firstLine="640" w:firstLineChars="200"/>
        <w:jc w:val="left"/>
        <w:rPr>
          <w:rFonts w:ascii="黑体" w:hAnsi="黑体" w:eastAsia="黑体" w:cs="仿宋"/>
          <w:color w:val="000000"/>
          <w:kern w:val="0"/>
          <w:sz w:val="32"/>
          <w:szCs w:val="32"/>
        </w:rPr>
      </w:pPr>
      <w:r>
        <w:rPr>
          <w:rFonts w:hint="eastAsia" w:ascii="黑体" w:hAnsi="黑体" w:eastAsia="黑体" w:cs="仿宋"/>
          <w:color w:val="000000"/>
          <w:kern w:val="0"/>
          <w:sz w:val="32"/>
          <w:szCs w:val="32"/>
        </w:rPr>
        <w:t>第二部分</w:t>
      </w:r>
      <w:r>
        <w:rPr>
          <w:rFonts w:ascii="黑体" w:hAnsi="黑体" w:eastAsia="黑体" w:cs="仿宋"/>
          <w:color w:val="000000"/>
          <w:kern w:val="0"/>
          <w:sz w:val="32"/>
          <w:szCs w:val="32"/>
        </w:rPr>
        <w:t xml:space="preserve"> </w:t>
      </w:r>
      <w:r>
        <w:rPr>
          <w:rFonts w:hint="eastAsia" w:ascii="黑体" w:hAnsi="黑体" w:eastAsia="黑体" w:cs="仿宋"/>
          <w:color w:val="000000"/>
          <w:kern w:val="0"/>
          <w:sz w:val="32"/>
          <w:szCs w:val="32"/>
        </w:rPr>
        <w:t>部门预算情况说明</w:t>
      </w:r>
    </w:p>
    <w:p w14:paraId="61DB73E8">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一、总体说明</w:t>
      </w:r>
    </w:p>
    <w:p w14:paraId="1425C3BD">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223.62</w:t>
      </w:r>
      <w:r>
        <w:rPr>
          <w:rFonts w:hint="eastAsia" w:ascii="仿宋" w:hAnsi="仿宋" w:eastAsia="仿宋" w:cs="仿宋"/>
          <w:color w:val="000000"/>
          <w:kern w:val="0"/>
          <w:sz w:val="32"/>
          <w:szCs w:val="32"/>
        </w:rPr>
        <w:t>万元；支出包括：</w:t>
      </w:r>
      <w:bookmarkStart w:id="0" w:name="OLE_LINK102"/>
      <w:bookmarkStart w:id="1" w:name="OLE_LINK101"/>
      <w:r>
        <w:rPr>
          <w:rFonts w:hint="eastAsia" w:ascii="仿宋" w:hAnsi="仿宋" w:eastAsia="仿宋" w:cs="仿宋"/>
          <w:color w:val="000000"/>
          <w:kern w:val="0"/>
          <w:sz w:val="32"/>
          <w:szCs w:val="32"/>
        </w:rPr>
        <w:t>工资福利和对个人家庭补助支出</w:t>
      </w:r>
      <w:r>
        <w:rPr>
          <w:rFonts w:hint="eastAsia" w:ascii="仿宋_GB2312" w:eastAsia="仿宋_GB2312"/>
          <w:sz w:val="32"/>
          <w:szCs w:val="32"/>
          <w:lang w:val="en-US" w:eastAsia="zh-CN"/>
        </w:rPr>
        <w:t>152.15</w:t>
      </w:r>
      <w:r>
        <w:rPr>
          <w:rFonts w:hint="eastAsia" w:ascii="仿宋" w:hAnsi="仿宋" w:eastAsia="仿宋" w:cs="仿宋"/>
          <w:color w:val="000000"/>
          <w:kern w:val="0"/>
          <w:sz w:val="32"/>
          <w:szCs w:val="32"/>
        </w:rPr>
        <w:t>万元</w:t>
      </w:r>
      <w:bookmarkEnd w:id="0"/>
      <w:bookmarkEnd w:id="1"/>
      <w:r>
        <w:rPr>
          <w:rFonts w:hint="eastAsia" w:ascii="仿宋" w:hAnsi="仿宋" w:eastAsia="仿宋" w:cs="仿宋"/>
          <w:color w:val="000000"/>
          <w:kern w:val="0"/>
          <w:sz w:val="32"/>
          <w:szCs w:val="32"/>
        </w:rPr>
        <w:t>，商品和服务支出</w:t>
      </w:r>
      <w:r>
        <w:rPr>
          <w:rFonts w:ascii="仿宋" w:hAnsi="仿宋" w:eastAsia="仿宋" w:cs="仿宋"/>
          <w:color w:val="000000"/>
          <w:kern w:val="0"/>
          <w:sz w:val="32"/>
          <w:szCs w:val="32"/>
        </w:rPr>
        <w:t>71.</w:t>
      </w:r>
      <w:r>
        <w:rPr>
          <w:rFonts w:hint="eastAsia" w:ascii="仿宋" w:hAnsi="仿宋" w:eastAsia="仿宋" w:cs="仿宋"/>
          <w:color w:val="000000"/>
          <w:kern w:val="0"/>
          <w:sz w:val="32"/>
          <w:szCs w:val="32"/>
          <w:lang w:val="en-US" w:eastAsia="zh-CN"/>
        </w:rPr>
        <w:t>47</w:t>
      </w:r>
      <w:r>
        <w:rPr>
          <w:rFonts w:hint="eastAsia" w:ascii="仿宋" w:hAnsi="仿宋" w:eastAsia="仿宋" w:cs="仿宋"/>
          <w:color w:val="000000"/>
          <w:kern w:val="0"/>
          <w:sz w:val="32"/>
          <w:szCs w:val="32"/>
        </w:rPr>
        <w:t>万元。全部为一般公共预算收支，无政府性基金预算收支，无国有资本经营预算收支。比</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年预算数减少</w:t>
      </w:r>
      <w:r>
        <w:rPr>
          <w:rFonts w:hint="eastAsia" w:ascii="仿宋" w:hAnsi="仿宋" w:eastAsia="仿宋" w:cs="仿宋"/>
          <w:color w:val="000000"/>
          <w:kern w:val="0"/>
          <w:sz w:val="32"/>
          <w:szCs w:val="32"/>
          <w:lang w:val="en-US" w:eastAsia="zh-CN"/>
        </w:rPr>
        <w:t>44</w:t>
      </w:r>
      <w:r>
        <w:rPr>
          <w:rFonts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万元，其中工资福利和对个人家庭补助支出减少</w:t>
      </w:r>
      <w:r>
        <w:rPr>
          <w:rFonts w:hint="eastAsia" w:ascii="仿宋" w:hAnsi="仿宋" w:eastAsia="仿宋" w:cs="仿宋"/>
          <w:color w:val="000000"/>
          <w:kern w:val="0"/>
          <w:sz w:val="32"/>
          <w:szCs w:val="32"/>
          <w:lang w:val="en-US" w:eastAsia="zh-CN"/>
        </w:rPr>
        <w:t>42</w:t>
      </w:r>
      <w:r>
        <w:rPr>
          <w:rFonts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72</w:t>
      </w:r>
      <w:r>
        <w:rPr>
          <w:rFonts w:hint="eastAsia" w:ascii="仿宋" w:hAnsi="仿宋" w:eastAsia="仿宋" w:cs="仿宋"/>
          <w:color w:val="000000"/>
          <w:kern w:val="0"/>
          <w:sz w:val="32"/>
          <w:szCs w:val="32"/>
        </w:rPr>
        <w:t>万元，商品和服务支出增加</w:t>
      </w:r>
      <w:r>
        <w:rPr>
          <w:rFonts w:hint="eastAsia" w:ascii="仿宋" w:hAnsi="仿宋" w:eastAsia="仿宋" w:cs="仿宋"/>
          <w:color w:val="000000"/>
          <w:kern w:val="0"/>
          <w:sz w:val="32"/>
          <w:szCs w:val="32"/>
          <w:lang w:val="en-US" w:eastAsia="zh-CN"/>
        </w:rPr>
        <w:t>1</w:t>
      </w:r>
      <w:r>
        <w:rPr>
          <w:rFonts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57</w:t>
      </w:r>
      <w:r>
        <w:rPr>
          <w:rFonts w:hint="eastAsia" w:ascii="仿宋" w:hAnsi="仿宋" w:eastAsia="仿宋" w:cs="仿宋"/>
          <w:color w:val="000000"/>
          <w:kern w:val="0"/>
          <w:sz w:val="32"/>
          <w:szCs w:val="32"/>
        </w:rPr>
        <w:t>万元。</w:t>
      </w:r>
    </w:p>
    <w:p w14:paraId="4061A640">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二、“三公”经费预算情况说明</w:t>
      </w:r>
    </w:p>
    <w:p w14:paraId="34FE662E">
      <w:pPr>
        <w:spacing w:line="560" w:lineRule="exact"/>
        <w:ind w:firstLine="640" w:firstLineChars="200"/>
        <w:rPr>
          <w:rFonts w:ascii="仿宋" w:hAnsi="仿宋" w:eastAsia="仿宋"/>
          <w:sz w:val="32"/>
          <w:szCs w:val="32"/>
        </w:rPr>
      </w:pPr>
      <w:r>
        <w:rPr>
          <w:rFonts w:hint="eastAsia" w:ascii="仿宋" w:hAnsi="仿宋" w:eastAsia="仿宋"/>
          <w:sz w:val="32"/>
          <w:szCs w:val="32"/>
        </w:rPr>
        <w:t>无“三公”经费支出,与去年相同。</w:t>
      </w:r>
      <w:r>
        <w:rPr>
          <w:rFonts w:ascii="仿宋" w:hAnsi="仿宋" w:eastAsia="仿宋"/>
          <w:sz w:val="32"/>
          <w:szCs w:val="32"/>
        </w:rPr>
        <w:t>主要是按照中央及市委、市政府关于厉行节约、改进工作作风、</w:t>
      </w:r>
      <w:r>
        <w:rPr>
          <w:rFonts w:ascii="仿宋" w:hAnsi="仿宋" w:eastAsia="仿宋" w:cs="Verdana"/>
          <w:color w:val="000000"/>
          <w:kern w:val="0"/>
          <w:sz w:val="32"/>
          <w:szCs w:val="32"/>
        </w:rPr>
        <w:t>密切联系群众</w:t>
      </w:r>
      <w:r>
        <w:rPr>
          <w:rFonts w:hint="eastAsia" w:ascii="仿宋" w:hAnsi="仿宋" w:eastAsia="仿宋" w:cs="Verdana"/>
          <w:color w:val="000000"/>
          <w:kern w:val="0"/>
          <w:sz w:val="32"/>
          <w:szCs w:val="32"/>
          <w:lang w:eastAsia="zh-CN"/>
        </w:rPr>
        <w:t>中央八项规定</w:t>
      </w:r>
      <w:r>
        <w:rPr>
          <w:rFonts w:ascii="仿宋" w:hAnsi="仿宋" w:eastAsia="仿宋" w:cs="Verdana"/>
          <w:color w:val="000000"/>
          <w:kern w:val="0"/>
          <w:sz w:val="32"/>
          <w:szCs w:val="32"/>
        </w:rPr>
        <w:t>等有关要求，严格控制“三公”经费支出</w:t>
      </w:r>
      <w:r>
        <w:rPr>
          <w:rFonts w:hint="eastAsia" w:ascii="仿宋" w:hAnsi="仿宋" w:eastAsia="仿宋" w:cs="Verdana"/>
          <w:color w:val="000000"/>
          <w:kern w:val="0"/>
          <w:sz w:val="32"/>
          <w:szCs w:val="32"/>
        </w:rPr>
        <w:t>。</w:t>
      </w:r>
    </w:p>
    <w:p w14:paraId="682435AC">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三、机关运行经费安排情况说明</w:t>
      </w:r>
    </w:p>
    <w:p w14:paraId="15CDED50">
      <w:pPr>
        <w:widowControl/>
        <w:spacing w:line="560" w:lineRule="exact"/>
        <w:ind w:firstLine="640" w:firstLineChars="200"/>
        <w:jc w:val="left"/>
        <w:rPr>
          <w:rFonts w:ascii="仿宋" w:hAnsi="仿宋" w:eastAsia="仿宋" w:cs="Verdana"/>
          <w:color w:val="000000"/>
          <w:kern w:val="0"/>
          <w:sz w:val="32"/>
          <w:szCs w:val="32"/>
        </w:rPr>
      </w:pPr>
      <w:r>
        <w:rPr>
          <w:rFonts w:ascii="仿宋" w:hAnsi="仿宋" w:eastAsia="仿宋" w:cs="Verdana"/>
          <w:color w:val="000000"/>
          <w:kern w:val="0"/>
          <w:sz w:val="32"/>
          <w:szCs w:val="32"/>
        </w:rPr>
        <w:t>机关运行经费</w:t>
      </w:r>
      <w:r>
        <w:rPr>
          <w:rFonts w:hint="eastAsia" w:ascii="仿宋" w:hAnsi="仿宋" w:eastAsia="仿宋" w:cs="Verdana"/>
          <w:color w:val="000000"/>
          <w:kern w:val="0"/>
          <w:sz w:val="32"/>
          <w:szCs w:val="32"/>
        </w:rPr>
        <w:t>包括定额公用经费</w:t>
      </w:r>
      <w:r>
        <w:rPr>
          <w:rFonts w:hint="eastAsia" w:ascii="仿宋" w:hAnsi="仿宋" w:eastAsia="仿宋" w:cs="Verdana"/>
          <w:color w:val="000000"/>
          <w:kern w:val="0"/>
          <w:sz w:val="32"/>
          <w:szCs w:val="32"/>
          <w:lang w:val="en-US" w:eastAsia="zh-CN"/>
        </w:rPr>
        <w:t>6</w:t>
      </w:r>
      <w:r>
        <w:rPr>
          <w:rFonts w:ascii="仿宋" w:hAnsi="仿宋" w:eastAsia="仿宋" w:cs="Verdana"/>
          <w:color w:val="000000"/>
          <w:kern w:val="0"/>
          <w:sz w:val="32"/>
          <w:szCs w:val="32"/>
        </w:rPr>
        <w:t>.4</w:t>
      </w:r>
      <w:r>
        <w:rPr>
          <w:rFonts w:hint="eastAsia" w:ascii="仿宋" w:hAnsi="仿宋" w:eastAsia="仿宋" w:cs="Verdana"/>
          <w:color w:val="000000"/>
          <w:kern w:val="0"/>
          <w:sz w:val="32"/>
          <w:szCs w:val="32"/>
          <w:lang w:val="en-US" w:eastAsia="zh-CN"/>
        </w:rPr>
        <w:t>7</w:t>
      </w:r>
      <w:r>
        <w:rPr>
          <w:rFonts w:hint="eastAsia" w:ascii="仿宋" w:hAnsi="仿宋" w:eastAsia="仿宋" w:cs="Verdana"/>
          <w:color w:val="000000"/>
          <w:kern w:val="0"/>
          <w:sz w:val="32"/>
          <w:szCs w:val="32"/>
        </w:rPr>
        <w:t>万元</w:t>
      </w:r>
      <w:r>
        <w:rPr>
          <w:rFonts w:ascii="仿宋" w:hAnsi="仿宋" w:eastAsia="仿宋" w:cs="Verdana"/>
          <w:color w:val="000000"/>
          <w:kern w:val="0"/>
          <w:sz w:val="32"/>
          <w:szCs w:val="32"/>
        </w:rPr>
        <w:t>。</w:t>
      </w:r>
    </w:p>
    <w:p w14:paraId="3410282E">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四、政府采购情况说明</w:t>
      </w:r>
    </w:p>
    <w:p w14:paraId="1DEB36E4">
      <w:pPr>
        <w:widowControl/>
        <w:spacing w:line="560" w:lineRule="exact"/>
        <w:ind w:firstLine="640" w:firstLineChars="200"/>
        <w:jc w:val="left"/>
        <w:rPr>
          <w:rFonts w:ascii="仿宋" w:hAnsi="仿宋" w:eastAsia="仿宋" w:cs="Verdana"/>
          <w:color w:val="000000"/>
          <w:kern w:val="0"/>
          <w:sz w:val="32"/>
          <w:szCs w:val="32"/>
        </w:rPr>
      </w:pPr>
      <w:r>
        <w:rPr>
          <w:rFonts w:hint="eastAsia" w:ascii="仿宋" w:hAnsi="仿宋" w:eastAsia="仿宋" w:cs="Verdana"/>
          <w:color w:val="000000"/>
          <w:kern w:val="0"/>
          <w:sz w:val="32"/>
          <w:szCs w:val="32"/>
        </w:rPr>
        <w:t>202</w:t>
      </w:r>
      <w:r>
        <w:rPr>
          <w:rFonts w:hint="eastAsia" w:ascii="仿宋" w:hAnsi="仿宋" w:eastAsia="仿宋" w:cs="Verdana"/>
          <w:color w:val="000000"/>
          <w:kern w:val="0"/>
          <w:sz w:val="32"/>
          <w:szCs w:val="32"/>
          <w:lang w:val="en-US" w:eastAsia="zh-CN"/>
        </w:rPr>
        <w:t>4</w:t>
      </w:r>
      <w:r>
        <w:rPr>
          <w:rFonts w:hint="eastAsia" w:ascii="仿宋" w:hAnsi="仿宋" w:eastAsia="仿宋" w:cs="Verdana"/>
          <w:color w:val="000000"/>
          <w:kern w:val="0"/>
          <w:sz w:val="32"/>
          <w:szCs w:val="32"/>
        </w:rPr>
        <w:t>年本部门无政府采购项目。</w:t>
      </w:r>
    </w:p>
    <w:p w14:paraId="3B339B40">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五、政府性基金收支预算情况</w:t>
      </w:r>
    </w:p>
    <w:p w14:paraId="025B17E0">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无政府性基金预算收支。</w:t>
      </w:r>
    </w:p>
    <w:p w14:paraId="2221E1F6">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六、国有资产占有使用情况说明</w:t>
      </w:r>
    </w:p>
    <w:p w14:paraId="0C950AB9">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国有资产占有使用情况说明为：截至202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年12月31日，部门（单位）共有车辆0辆；单位价值50万元（含）以上通用设备0台（套）；单位价值100万元以上专用设备0台（套）。</w:t>
      </w:r>
    </w:p>
    <w:p w14:paraId="52A363C6">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七、预算绩效管理情况</w:t>
      </w:r>
    </w:p>
    <w:p w14:paraId="307C11AC">
      <w:pPr>
        <w:spacing w:line="60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年，按照“先有绩效，后有预算”原则，本部门共计编制绩效目标</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个，预算金额</w:t>
      </w:r>
      <w:r>
        <w:rPr>
          <w:rFonts w:ascii="仿宋" w:hAnsi="仿宋" w:eastAsia="仿宋" w:cs="仿宋"/>
          <w:color w:val="000000"/>
          <w:kern w:val="0"/>
          <w:sz w:val="32"/>
          <w:szCs w:val="32"/>
        </w:rPr>
        <w:t>65</w:t>
      </w:r>
      <w:r>
        <w:rPr>
          <w:rFonts w:hint="eastAsia" w:ascii="仿宋" w:hAnsi="仿宋" w:eastAsia="仿宋" w:cs="仿宋"/>
          <w:color w:val="000000"/>
          <w:kern w:val="0"/>
          <w:sz w:val="32"/>
          <w:szCs w:val="32"/>
        </w:rPr>
        <w:t>万元，占项目支出预算比重100</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p>
    <w:p w14:paraId="4CCC8BA4">
      <w:pPr>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八、退役军人服务中心临时聘用委托费项目</w:t>
      </w:r>
    </w:p>
    <w:p w14:paraId="0079FCBE">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项目概述</w:t>
      </w:r>
    </w:p>
    <w:p w14:paraId="1CB0A138">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按照2</w:t>
      </w:r>
      <w:r>
        <w:rPr>
          <w:rFonts w:ascii="仿宋" w:hAnsi="仿宋" w:eastAsia="仿宋" w:cs="仿宋"/>
          <w:color w:val="000000"/>
          <w:kern w:val="0"/>
          <w:sz w:val="32"/>
          <w:szCs w:val="32"/>
        </w:rPr>
        <w:t>021</w:t>
      </w:r>
      <w:r>
        <w:rPr>
          <w:rFonts w:hint="eastAsia" w:ascii="仿宋" w:hAnsi="仿宋" w:eastAsia="仿宋" w:cs="仿宋"/>
          <w:color w:val="000000"/>
          <w:kern w:val="0"/>
          <w:sz w:val="32"/>
          <w:szCs w:val="32"/>
        </w:rPr>
        <w:t>年1</w:t>
      </w:r>
      <w:r>
        <w:rPr>
          <w:rFonts w:ascii="仿宋" w:hAnsi="仿宋" w:eastAsia="仿宋" w:cs="仿宋"/>
          <w:color w:val="000000"/>
          <w:kern w:val="0"/>
          <w:sz w:val="32"/>
          <w:szCs w:val="32"/>
        </w:rPr>
        <w:t>0</w:t>
      </w:r>
      <w:r>
        <w:rPr>
          <w:rFonts w:hint="eastAsia" w:ascii="仿宋" w:hAnsi="仿宋" w:eastAsia="仿宋" w:cs="仿宋"/>
          <w:color w:val="000000"/>
          <w:kern w:val="0"/>
          <w:sz w:val="32"/>
          <w:szCs w:val="32"/>
        </w:rPr>
        <w:t>月1</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日大连高新区管委会《关于审议解决部分政府安置退役士官、士兵有关身份和待遇诉求问题的会议纪要》（8</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）要求，区社会管理局下发《关于同邵德刚、杜宝立、任笑池3名退役士官（士兵）签订劳动合同的通知》，我中心与3名退役士官（士兵）签订劳动合同，并按照《息访协议书》发放</w:t>
      </w:r>
      <w:bookmarkStart w:id="2" w:name="OLE_LINK3"/>
      <w:r>
        <w:rPr>
          <w:rFonts w:hint="eastAsia" w:ascii="仿宋" w:hAnsi="仿宋" w:eastAsia="仿宋" w:cs="仿宋"/>
          <w:color w:val="000000"/>
          <w:kern w:val="0"/>
          <w:sz w:val="32"/>
          <w:szCs w:val="32"/>
        </w:rPr>
        <w:t>工资、绩效奖金并缴纳社会保险、公积金等。</w:t>
      </w:r>
    </w:p>
    <w:bookmarkEnd w:id="2"/>
    <w:p w14:paraId="51AA7626">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立项依据</w:t>
      </w:r>
    </w:p>
    <w:p w14:paraId="5FD4AD7C">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（1）《关于审议解决部分政府安置退役士官、士兵有关身份和待遇诉求问题的会议纪要》（8</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w:t>
      </w:r>
    </w:p>
    <w:p w14:paraId="350AD449">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（2）《关于同邵德刚、杜宝立、任笑池3名退役士官（士兵）签订劳动合同的通知》</w:t>
      </w:r>
    </w:p>
    <w:p w14:paraId="587D4541">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实施主体</w:t>
      </w:r>
    </w:p>
    <w:p w14:paraId="6F784C26">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大连高新技术产业园区退役军人服务中心</w:t>
      </w:r>
    </w:p>
    <w:p w14:paraId="2EC8B178">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实施方案</w:t>
      </w:r>
    </w:p>
    <w:p w14:paraId="5096419A">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按照《按照息访协议书》的相关内容，发放工资、绩效奖金并缴纳社会保险、公积金等。</w:t>
      </w:r>
    </w:p>
    <w:p w14:paraId="44835DDF">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实施周期</w:t>
      </w:r>
    </w:p>
    <w:p w14:paraId="596F1DC5">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年1月1日至2</w:t>
      </w:r>
      <w:r>
        <w:rPr>
          <w:rFonts w:ascii="仿宋" w:hAnsi="仿宋" w:eastAsia="仿宋" w:cs="仿宋"/>
          <w:color w:val="000000"/>
          <w:kern w:val="0"/>
          <w:sz w:val="32"/>
          <w:szCs w:val="32"/>
        </w:rPr>
        <w:t>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月3</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w:t>
      </w:r>
    </w:p>
    <w:p w14:paraId="2A651C54">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年度预算安排</w:t>
      </w:r>
    </w:p>
    <w:p w14:paraId="313D2BB7">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年预算金额6</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万元，其中财政拨款6</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万元。</w:t>
      </w:r>
    </w:p>
    <w:p w14:paraId="7D2DC8FA">
      <w:pPr>
        <w:spacing w:line="560" w:lineRule="exact"/>
        <w:rPr>
          <w:rFonts w:ascii="仿宋" w:hAnsi="仿宋" w:eastAsia="仿宋" w:cs="仿宋"/>
          <w:color w:val="000000"/>
          <w:kern w:val="0"/>
          <w:sz w:val="32"/>
          <w:szCs w:val="32"/>
        </w:rPr>
      </w:pPr>
    </w:p>
    <w:p w14:paraId="5AB7D593">
      <w:pPr>
        <w:spacing w:line="560" w:lineRule="exact"/>
        <w:ind w:firstLine="640" w:firstLineChars="200"/>
        <w:rPr>
          <w:rFonts w:ascii="黑体" w:hAnsi="黑体" w:eastAsia="黑体" w:cs="仿宋"/>
          <w:color w:val="000000"/>
          <w:kern w:val="0"/>
          <w:sz w:val="32"/>
          <w:szCs w:val="32"/>
        </w:rPr>
      </w:pPr>
      <w:r>
        <w:rPr>
          <w:rFonts w:hint="eastAsia" w:ascii="黑体" w:hAnsi="黑体" w:eastAsia="黑体" w:cs="仿宋"/>
          <w:color w:val="000000"/>
          <w:kern w:val="0"/>
          <w:sz w:val="32"/>
          <w:szCs w:val="32"/>
        </w:rPr>
        <w:t>第三部分</w:t>
      </w:r>
      <w:r>
        <w:rPr>
          <w:rFonts w:ascii="黑体" w:hAnsi="黑体" w:eastAsia="黑体" w:cs="仿宋"/>
          <w:color w:val="000000"/>
          <w:kern w:val="0"/>
          <w:sz w:val="32"/>
          <w:szCs w:val="32"/>
        </w:rPr>
        <w:t xml:space="preserve"> </w:t>
      </w:r>
      <w:r>
        <w:rPr>
          <w:rFonts w:hint="eastAsia" w:ascii="黑体" w:hAnsi="黑体" w:eastAsia="黑体" w:cs="仿宋"/>
          <w:color w:val="000000"/>
          <w:kern w:val="0"/>
          <w:sz w:val="32"/>
          <w:szCs w:val="32"/>
        </w:rPr>
        <w:t>名词解释</w:t>
      </w:r>
    </w:p>
    <w:p w14:paraId="2FB4B74B">
      <w:pPr>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财政拨款收入：指市财政当年拨付的资金。</w:t>
      </w:r>
      <w:r>
        <w:rPr>
          <w:rFonts w:ascii="仿宋" w:hAnsi="仿宋" w:eastAsia="仿宋" w:cs="仿宋"/>
          <w:color w:val="000000"/>
          <w:kern w:val="0"/>
          <w:sz w:val="32"/>
          <w:szCs w:val="32"/>
        </w:rPr>
        <w:t xml:space="preserve"> </w:t>
      </w:r>
    </w:p>
    <w:p w14:paraId="127679B6">
      <w:pPr>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其他收入：指除“财政拨款收入”、“财政专户拨款收入”等以外的收入，包括事业单位经营性收入、上级补助收入、附属单位上缴收入等。</w:t>
      </w:r>
    </w:p>
    <w:p w14:paraId="14A7A925">
      <w:pPr>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基本支出：指为保障机构正常运转、完成日常工作任务而发生的人员支出和公用支出。</w:t>
      </w:r>
    </w:p>
    <w:p w14:paraId="065747CD">
      <w:pPr>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项目支出：指在基本支出之外为完成特定行政任务和事业发展目标所发生的支出。</w:t>
      </w:r>
    </w:p>
    <w:p w14:paraId="5D6E9D1D">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D0ED05">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一般公共服务（类）财政事务（款）行政运行（项）：反映行政单位（包括实行公务员管理的事业单位）的基本支出。</w:t>
      </w:r>
    </w:p>
    <w:p w14:paraId="67C25296">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一般公共服务（类）财政事务（款）一般行政管理事务（项）：反映行政单位（包括实行公务员管理的事业单位）未单独设置项级科目的其他项目支出。</w:t>
      </w:r>
    </w:p>
    <w:p w14:paraId="4562B4F1">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一般公共服务（类）财政事务（款）信息化建设（项）：反映财政部门用于“金财工程”等信息化建设方面的支出。</w:t>
      </w:r>
    </w:p>
    <w:p w14:paraId="3CC3652F">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一般公共服务（类）财政事务（款）财政委托业务支出（项）：反映财政委托评审机构进行财政投资评审和委托建设银行等机构代理业务发生的支出。</w:t>
      </w:r>
    </w:p>
    <w:p w14:paraId="36CA9EBB">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10. </w:t>
      </w:r>
      <w:r>
        <w:rPr>
          <w:rFonts w:hint="eastAsia" w:ascii="仿宋" w:hAnsi="仿宋" w:eastAsia="仿宋" w:cs="仿宋"/>
          <w:color w:val="000000"/>
          <w:kern w:val="0"/>
          <w:sz w:val="32"/>
          <w:szCs w:val="32"/>
        </w:rPr>
        <w:t>一般公共服务（类）财政事务（款）事业运行（项）：反映事业单位的基本支出，不包括行政单位（包括实行公务员管理的事业单位）后勤服务中心、医务室等附属事业单位。</w:t>
      </w:r>
    </w:p>
    <w:p w14:paraId="3B9575F2">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11. </w:t>
      </w:r>
      <w:r>
        <w:rPr>
          <w:rFonts w:hint="eastAsia" w:ascii="仿宋" w:hAnsi="仿宋" w:eastAsia="仿宋" w:cs="仿宋"/>
          <w:color w:val="000000"/>
          <w:kern w:val="0"/>
          <w:sz w:val="32"/>
          <w:szCs w:val="32"/>
        </w:rPr>
        <w:t>一般公共服务（类）财政事务（款）其他财政事务支出（项）：反映其他财政事务方面的支出。</w:t>
      </w:r>
    </w:p>
    <w:p w14:paraId="0FF4951D">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．教育支出（类）其他教育支出（款）其他教育支出（项）：反映其他用于教育方面的支出。</w:t>
      </w:r>
    </w:p>
    <w:p w14:paraId="7587C971">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13. </w:t>
      </w:r>
      <w:r>
        <w:rPr>
          <w:rFonts w:hint="eastAsia" w:ascii="仿宋" w:hAnsi="仿宋" w:eastAsia="仿宋" w:cs="仿宋"/>
          <w:color w:val="000000"/>
          <w:kern w:val="0"/>
          <w:sz w:val="32"/>
          <w:szCs w:val="32"/>
        </w:rPr>
        <w:t>社会保障和就业（类）行政事业单位离退休（款）归口管理的行政单位离退休（项）：反映实行归口管理的行政单位（包括实行公务员管理的事业单位）开支的离退休经费。</w:t>
      </w:r>
    </w:p>
    <w:p w14:paraId="20DFC3FF">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14. </w:t>
      </w:r>
      <w:r>
        <w:rPr>
          <w:rFonts w:hint="eastAsia" w:ascii="仿宋" w:hAnsi="仿宋" w:eastAsia="仿宋" w:cs="仿宋"/>
          <w:color w:val="000000"/>
          <w:kern w:val="0"/>
          <w:sz w:val="32"/>
          <w:szCs w:val="32"/>
        </w:rPr>
        <w:t>社会保障和就业（类）行政事业单位离退休（款）机关事业单位基本养老保险缴费支出（项）：反映机关事业单位实施养老保险制度由单位缴纳的基本养老保险费支出。</w:t>
      </w:r>
    </w:p>
    <w:p w14:paraId="5355A873">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3C44A0FF">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16.</w:t>
      </w:r>
      <w:r>
        <w:rPr>
          <w:rFonts w:hint="eastAsia" w:ascii="仿宋" w:hAnsi="仿宋" w:eastAsia="仿宋" w:cs="仿宋"/>
          <w:color w:val="000000"/>
          <w:kern w:val="0"/>
          <w:sz w:val="32"/>
          <w:szCs w:val="32"/>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01DD9D2">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住房保障（类）住房改革（款）住房公积金（项）：反映行政事业单位按人力资源和社会保障部、财政部规定的基本工资和津贴补贴以及规定比例为职工缴纳的住房公积金。</w:t>
      </w:r>
    </w:p>
    <w:p w14:paraId="5030CA78">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18.</w:t>
      </w:r>
      <w:r>
        <w:rPr>
          <w:rFonts w:hint="eastAsia" w:ascii="仿宋" w:hAnsi="仿宋" w:eastAsia="仿宋" w:cs="仿宋"/>
          <w:color w:val="000000"/>
          <w:kern w:val="0"/>
          <w:sz w:val="32"/>
          <w:szCs w:val="32"/>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4161A65">
      <w:pPr>
        <w:widowControl/>
        <w:spacing w:line="560" w:lineRule="exact"/>
        <w:ind w:firstLine="640" w:firstLineChars="200"/>
        <w:jc w:val="left"/>
        <w:rPr>
          <w:rFonts w:ascii="仿宋" w:hAnsi="仿宋" w:eastAsia="仿宋" w:cs="仿宋"/>
          <w:color w:val="000000"/>
          <w:kern w:val="0"/>
          <w:sz w:val="32"/>
          <w:szCs w:val="32"/>
        </w:rPr>
      </w:pPr>
    </w:p>
    <w:p w14:paraId="392338B7">
      <w:pPr>
        <w:widowControl/>
        <w:spacing w:line="560" w:lineRule="exact"/>
        <w:jc w:val="left"/>
        <w:rPr>
          <w:rFonts w:ascii="仿宋" w:hAnsi="仿宋" w:eastAsia="仿宋" w:cs="仿宋"/>
          <w:color w:val="000000"/>
          <w:kern w:val="0"/>
          <w:sz w:val="32"/>
          <w:szCs w:val="32"/>
        </w:rPr>
      </w:pPr>
    </w:p>
    <w:p w14:paraId="7C42B8D6">
      <w:pPr>
        <w:widowControl/>
        <w:spacing w:line="560" w:lineRule="exact"/>
        <w:jc w:val="left"/>
        <w:rPr>
          <w:rFonts w:ascii="仿宋" w:hAnsi="仿宋" w:eastAsia="仿宋" w:cs="仿宋"/>
          <w:color w:val="000000"/>
          <w:kern w:val="0"/>
          <w:sz w:val="32"/>
          <w:szCs w:val="32"/>
        </w:rPr>
      </w:pPr>
    </w:p>
    <w:p w14:paraId="7221A0F2">
      <w:pPr>
        <w:widowControl/>
        <w:spacing w:line="560" w:lineRule="exact"/>
        <w:jc w:val="left"/>
        <w:rPr>
          <w:rFonts w:ascii="仿宋" w:hAnsi="仿宋" w:eastAsia="仿宋" w:cs="仿宋"/>
          <w:color w:val="000000"/>
          <w:kern w:val="0"/>
          <w:sz w:val="32"/>
          <w:szCs w:val="32"/>
        </w:rPr>
      </w:pPr>
    </w:p>
    <w:p w14:paraId="74935625">
      <w:pPr>
        <w:widowControl/>
        <w:spacing w:line="560" w:lineRule="exact"/>
        <w:ind w:firstLine="1920" w:firstLineChars="6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大连高新技术产业园区退役军人服务中心</w:t>
      </w:r>
    </w:p>
    <w:p w14:paraId="1CCBA04C">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 xml:space="preserve">     </w:t>
      </w:r>
      <w:r>
        <w:rPr>
          <w:rFonts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年2月</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B16B">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14:paraId="62679EF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6B4D">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22F8CE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60"/>
    <w:rsid w:val="00002530"/>
    <w:rsid w:val="00002BAB"/>
    <w:rsid w:val="000045B8"/>
    <w:rsid w:val="000130C2"/>
    <w:rsid w:val="00016264"/>
    <w:rsid w:val="00017B87"/>
    <w:rsid w:val="000220BC"/>
    <w:rsid w:val="00022B54"/>
    <w:rsid w:val="0003365D"/>
    <w:rsid w:val="00040279"/>
    <w:rsid w:val="00041854"/>
    <w:rsid w:val="00045CEA"/>
    <w:rsid w:val="00046D52"/>
    <w:rsid w:val="00053D99"/>
    <w:rsid w:val="000600D8"/>
    <w:rsid w:val="00066F30"/>
    <w:rsid w:val="00075C22"/>
    <w:rsid w:val="00084B59"/>
    <w:rsid w:val="000A55C1"/>
    <w:rsid w:val="000C0EBD"/>
    <w:rsid w:val="000C6B49"/>
    <w:rsid w:val="000C6D05"/>
    <w:rsid w:val="000D0613"/>
    <w:rsid w:val="000E6C93"/>
    <w:rsid w:val="000E7D75"/>
    <w:rsid w:val="000F1BD2"/>
    <w:rsid w:val="000F678D"/>
    <w:rsid w:val="000F7EC7"/>
    <w:rsid w:val="00101BE5"/>
    <w:rsid w:val="00104AD4"/>
    <w:rsid w:val="0010550E"/>
    <w:rsid w:val="00105E0D"/>
    <w:rsid w:val="00106522"/>
    <w:rsid w:val="00115BCD"/>
    <w:rsid w:val="00122ACC"/>
    <w:rsid w:val="001255BC"/>
    <w:rsid w:val="0014109A"/>
    <w:rsid w:val="00150877"/>
    <w:rsid w:val="001518B3"/>
    <w:rsid w:val="00161209"/>
    <w:rsid w:val="00164A2E"/>
    <w:rsid w:val="00165857"/>
    <w:rsid w:val="00187190"/>
    <w:rsid w:val="00195C8B"/>
    <w:rsid w:val="001961A4"/>
    <w:rsid w:val="001B4947"/>
    <w:rsid w:val="001C78E1"/>
    <w:rsid w:val="001D2999"/>
    <w:rsid w:val="001D7051"/>
    <w:rsid w:val="001E05AB"/>
    <w:rsid w:val="001E3E93"/>
    <w:rsid w:val="001E6730"/>
    <w:rsid w:val="001F6AE8"/>
    <w:rsid w:val="002016BC"/>
    <w:rsid w:val="00204C2C"/>
    <w:rsid w:val="00212E7D"/>
    <w:rsid w:val="00217996"/>
    <w:rsid w:val="00224F6B"/>
    <w:rsid w:val="002264FF"/>
    <w:rsid w:val="0025647E"/>
    <w:rsid w:val="00262CCF"/>
    <w:rsid w:val="00263926"/>
    <w:rsid w:val="00264775"/>
    <w:rsid w:val="00265F8B"/>
    <w:rsid w:val="00275DE8"/>
    <w:rsid w:val="00275EE8"/>
    <w:rsid w:val="002777B6"/>
    <w:rsid w:val="002849CC"/>
    <w:rsid w:val="00286258"/>
    <w:rsid w:val="00297382"/>
    <w:rsid w:val="00297E4B"/>
    <w:rsid w:val="002B23B7"/>
    <w:rsid w:val="002B468B"/>
    <w:rsid w:val="002B62F5"/>
    <w:rsid w:val="002B66A0"/>
    <w:rsid w:val="002C2B9F"/>
    <w:rsid w:val="002C4C7B"/>
    <w:rsid w:val="002D1847"/>
    <w:rsid w:val="002D68D6"/>
    <w:rsid w:val="002D7A1C"/>
    <w:rsid w:val="002E0DCA"/>
    <w:rsid w:val="002E6BAD"/>
    <w:rsid w:val="002F1203"/>
    <w:rsid w:val="002F31AA"/>
    <w:rsid w:val="003003AA"/>
    <w:rsid w:val="00303C41"/>
    <w:rsid w:val="00312B1C"/>
    <w:rsid w:val="0031439C"/>
    <w:rsid w:val="00315D51"/>
    <w:rsid w:val="00320A20"/>
    <w:rsid w:val="0032565D"/>
    <w:rsid w:val="00325D25"/>
    <w:rsid w:val="0032698A"/>
    <w:rsid w:val="003374E4"/>
    <w:rsid w:val="00342DA2"/>
    <w:rsid w:val="003431AF"/>
    <w:rsid w:val="00346C8A"/>
    <w:rsid w:val="003639FB"/>
    <w:rsid w:val="00370937"/>
    <w:rsid w:val="00386375"/>
    <w:rsid w:val="00397456"/>
    <w:rsid w:val="003A455A"/>
    <w:rsid w:val="003B50ED"/>
    <w:rsid w:val="003C65CD"/>
    <w:rsid w:val="003E105F"/>
    <w:rsid w:val="003E26ED"/>
    <w:rsid w:val="003E3CD6"/>
    <w:rsid w:val="003E61DA"/>
    <w:rsid w:val="003F2AA1"/>
    <w:rsid w:val="003F2C19"/>
    <w:rsid w:val="003F4DFF"/>
    <w:rsid w:val="003F4F25"/>
    <w:rsid w:val="004115C9"/>
    <w:rsid w:val="004154B3"/>
    <w:rsid w:val="004221E9"/>
    <w:rsid w:val="00447DC8"/>
    <w:rsid w:val="004656EF"/>
    <w:rsid w:val="004727A6"/>
    <w:rsid w:val="00473F87"/>
    <w:rsid w:val="0047716E"/>
    <w:rsid w:val="00496582"/>
    <w:rsid w:val="004979AA"/>
    <w:rsid w:val="004B603D"/>
    <w:rsid w:val="004D7EA6"/>
    <w:rsid w:val="004E350F"/>
    <w:rsid w:val="004F7A6E"/>
    <w:rsid w:val="00502BB0"/>
    <w:rsid w:val="00502CF7"/>
    <w:rsid w:val="005040D0"/>
    <w:rsid w:val="00512C93"/>
    <w:rsid w:val="00516FA0"/>
    <w:rsid w:val="00527335"/>
    <w:rsid w:val="00536084"/>
    <w:rsid w:val="00537475"/>
    <w:rsid w:val="00552022"/>
    <w:rsid w:val="005637BB"/>
    <w:rsid w:val="00574498"/>
    <w:rsid w:val="005776F0"/>
    <w:rsid w:val="00590AF6"/>
    <w:rsid w:val="00592029"/>
    <w:rsid w:val="005925DA"/>
    <w:rsid w:val="00592DE2"/>
    <w:rsid w:val="00594FB5"/>
    <w:rsid w:val="005A04CC"/>
    <w:rsid w:val="005B2CD0"/>
    <w:rsid w:val="005B5E23"/>
    <w:rsid w:val="005C6AF5"/>
    <w:rsid w:val="005D44C4"/>
    <w:rsid w:val="005D5033"/>
    <w:rsid w:val="005D6181"/>
    <w:rsid w:val="005D6799"/>
    <w:rsid w:val="005E1425"/>
    <w:rsid w:val="005E5D50"/>
    <w:rsid w:val="005E73FD"/>
    <w:rsid w:val="005F4DCC"/>
    <w:rsid w:val="005F6310"/>
    <w:rsid w:val="005F6DA7"/>
    <w:rsid w:val="00600C31"/>
    <w:rsid w:val="00614500"/>
    <w:rsid w:val="00620092"/>
    <w:rsid w:val="00631A48"/>
    <w:rsid w:val="00641134"/>
    <w:rsid w:val="0064113E"/>
    <w:rsid w:val="006541E5"/>
    <w:rsid w:val="00666DD9"/>
    <w:rsid w:val="006672FE"/>
    <w:rsid w:val="00680054"/>
    <w:rsid w:val="00685E3D"/>
    <w:rsid w:val="00691AA8"/>
    <w:rsid w:val="00692DD1"/>
    <w:rsid w:val="00693E5A"/>
    <w:rsid w:val="006952EC"/>
    <w:rsid w:val="006973B4"/>
    <w:rsid w:val="006B3DD4"/>
    <w:rsid w:val="006C06E9"/>
    <w:rsid w:val="006C50F8"/>
    <w:rsid w:val="006C5384"/>
    <w:rsid w:val="006E46EB"/>
    <w:rsid w:val="006E5605"/>
    <w:rsid w:val="006F1E9E"/>
    <w:rsid w:val="006F3D20"/>
    <w:rsid w:val="007038EA"/>
    <w:rsid w:val="0075074F"/>
    <w:rsid w:val="00753345"/>
    <w:rsid w:val="00753F26"/>
    <w:rsid w:val="00755C7B"/>
    <w:rsid w:val="00755DD2"/>
    <w:rsid w:val="007622CF"/>
    <w:rsid w:val="0076461C"/>
    <w:rsid w:val="00765393"/>
    <w:rsid w:val="007671B6"/>
    <w:rsid w:val="00767D02"/>
    <w:rsid w:val="00772D51"/>
    <w:rsid w:val="007805EB"/>
    <w:rsid w:val="00780EAB"/>
    <w:rsid w:val="00791329"/>
    <w:rsid w:val="00793572"/>
    <w:rsid w:val="007971B7"/>
    <w:rsid w:val="00797B39"/>
    <w:rsid w:val="007B0D20"/>
    <w:rsid w:val="007B12D0"/>
    <w:rsid w:val="007B6BF1"/>
    <w:rsid w:val="007C5E3C"/>
    <w:rsid w:val="007C67BE"/>
    <w:rsid w:val="007C73E6"/>
    <w:rsid w:val="007E5065"/>
    <w:rsid w:val="007E6864"/>
    <w:rsid w:val="007F23D9"/>
    <w:rsid w:val="007F5365"/>
    <w:rsid w:val="008207A6"/>
    <w:rsid w:val="0082397E"/>
    <w:rsid w:val="008261A0"/>
    <w:rsid w:val="00826E6F"/>
    <w:rsid w:val="00830B28"/>
    <w:rsid w:val="00850FED"/>
    <w:rsid w:val="0085203E"/>
    <w:rsid w:val="008542CC"/>
    <w:rsid w:val="00861D89"/>
    <w:rsid w:val="008620BC"/>
    <w:rsid w:val="008641D1"/>
    <w:rsid w:val="008737A7"/>
    <w:rsid w:val="008824FD"/>
    <w:rsid w:val="00883A66"/>
    <w:rsid w:val="00890BC0"/>
    <w:rsid w:val="008955EA"/>
    <w:rsid w:val="00895749"/>
    <w:rsid w:val="008957F7"/>
    <w:rsid w:val="00896F89"/>
    <w:rsid w:val="008B01B8"/>
    <w:rsid w:val="008B3318"/>
    <w:rsid w:val="008B5C35"/>
    <w:rsid w:val="008C2911"/>
    <w:rsid w:val="008C725D"/>
    <w:rsid w:val="008C77BC"/>
    <w:rsid w:val="008D5CB1"/>
    <w:rsid w:val="008E1C52"/>
    <w:rsid w:val="008F2D66"/>
    <w:rsid w:val="00901741"/>
    <w:rsid w:val="00901F4E"/>
    <w:rsid w:val="009244A6"/>
    <w:rsid w:val="00926043"/>
    <w:rsid w:val="00935922"/>
    <w:rsid w:val="00941B10"/>
    <w:rsid w:val="00954B4F"/>
    <w:rsid w:val="00956687"/>
    <w:rsid w:val="009568F1"/>
    <w:rsid w:val="00957D79"/>
    <w:rsid w:val="00961681"/>
    <w:rsid w:val="0096311F"/>
    <w:rsid w:val="009644D4"/>
    <w:rsid w:val="009652AA"/>
    <w:rsid w:val="00976A74"/>
    <w:rsid w:val="009815EE"/>
    <w:rsid w:val="009848F0"/>
    <w:rsid w:val="00985830"/>
    <w:rsid w:val="009870F9"/>
    <w:rsid w:val="0099155E"/>
    <w:rsid w:val="009A584B"/>
    <w:rsid w:val="009B00D7"/>
    <w:rsid w:val="009B2426"/>
    <w:rsid w:val="009E374F"/>
    <w:rsid w:val="009F1015"/>
    <w:rsid w:val="009F229D"/>
    <w:rsid w:val="00A03D30"/>
    <w:rsid w:val="00A12672"/>
    <w:rsid w:val="00A144F0"/>
    <w:rsid w:val="00A150E4"/>
    <w:rsid w:val="00A2204B"/>
    <w:rsid w:val="00A26A44"/>
    <w:rsid w:val="00A30ED8"/>
    <w:rsid w:val="00A3368B"/>
    <w:rsid w:val="00A35DBA"/>
    <w:rsid w:val="00A377FD"/>
    <w:rsid w:val="00A37AC3"/>
    <w:rsid w:val="00A4045A"/>
    <w:rsid w:val="00A5261D"/>
    <w:rsid w:val="00A5549A"/>
    <w:rsid w:val="00A60D00"/>
    <w:rsid w:val="00A70656"/>
    <w:rsid w:val="00A7639E"/>
    <w:rsid w:val="00A81826"/>
    <w:rsid w:val="00A924A6"/>
    <w:rsid w:val="00A972B0"/>
    <w:rsid w:val="00AA382F"/>
    <w:rsid w:val="00AB3FA6"/>
    <w:rsid w:val="00AC7B47"/>
    <w:rsid w:val="00AD4AF5"/>
    <w:rsid w:val="00AE365E"/>
    <w:rsid w:val="00AE6026"/>
    <w:rsid w:val="00AE72D3"/>
    <w:rsid w:val="00AE7779"/>
    <w:rsid w:val="00B00551"/>
    <w:rsid w:val="00B07BF3"/>
    <w:rsid w:val="00B217F1"/>
    <w:rsid w:val="00B32B42"/>
    <w:rsid w:val="00B3394E"/>
    <w:rsid w:val="00B40E6C"/>
    <w:rsid w:val="00B42381"/>
    <w:rsid w:val="00B431CC"/>
    <w:rsid w:val="00B4656B"/>
    <w:rsid w:val="00B465A0"/>
    <w:rsid w:val="00B57B36"/>
    <w:rsid w:val="00B6416E"/>
    <w:rsid w:val="00B7118F"/>
    <w:rsid w:val="00B83C28"/>
    <w:rsid w:val="00B86335"/>
    <w:rsid w:val="00BA2EE7"/>
    <w:rsid w:val="00BB0FE8"/>
    <w:rsid w:val="00BB34BD"/>
    <w:rsid w:val="00BB3D31"/>
    <w:rsid w:val="00BB77C4"/>
    <w:rsid w:val="00BE53AA"/>
    <w:rsid w:val="00BF5A10"/>
    <w:rsid w:val="00C0387D"/>
    <w:rsid w:val="00C04CE3"/>
    <w:rsid w:val="00C052C0"/>
    <w:rsid w:val="00C052EC"/>
    <w:rsid w:val="00C14319"/>
    <w:rsid w:val="00C201F1"/>
    <w:rsid w:val="00C3494E"/>
    <w:rsid w:val="00C403F4"/>
    <w:rsid w:val="00C52D9E"/>
    <w:rsid w:val="00C61A43"/>
    <w:rsid w:val="00C6442C"/>
    <w:rsid w:val="00C67479"/>
    <w:rsid w:val="00C76DD9"/>
    <w:rsid w:val="00C8266F"/>
    <w:rsid w:val="00C82EE1"/>
    <w:rsid w:val="00C90EBE"/>
    <w:rsid w:val="00CA517C"/>
    <w:rsid w:val="00CC08D2"/>
    <w:rsid w:val="00CC21ED"/>
    <w:rsid w:val="00CC7A1A"/>
    <w:rsid w:val="00CD1F30"/>
    <w:rsid w:val="00CD248C"/>
    <w:rsid w:val="00CD52EE"/>
    <w:rsid w:val="00CE6CB5"/>
    <w:rsid w:val="00CF43DA"/>
    <w:rsid w:val="00CF6BD2"/>
    <w:rsid w:val="00D10236"/>
    <w:rsid w:val="00D176CA"/>
    <w:rsid w:val="00D270EC"/>
    <w:rsid w:val="00D4008E"/>
    <w:rsid w:val="00D400F0"/>
    <w:rsid w:val="00D41A68"/>
    <w:rsid w:val="00D54F71"/>
    <w:rsid w:val="00D62F3D"/>
    <w:rsid w:val="00D70887"/>
    <w:rsid w:val="00D72171"/>
    <w:rsid w:val="00D82E50"/>
    <w:rsid w:val="00D876AC"/>
    <w:rsid w:val="00DA1658"/>
    <w:rsid w:val="00DA4DBA"/>
    <w:rsid w:val="00DA4EA4"/>
    <w:rsid w:val="00DB4FA4"/>
    <w:rsid w:val="00DC1136"/>
    <w:rsid w:val="00DC68C9"/>
    <w:rsid w:val="00DD605A"/>
    <w:rsid w:val="00DD67CE"/>
    <w:rsid w:val="00DF2079"/>
    <w:rsid w:val="00DF3D9D"/>
    <w:rsid w:val="00E041CE"/>
    <w:rsid w:val="00E06CA1"/>
    <w:rsid w:val="00E1310B"/>
    <w:rsid w:val="00E160F9"/>
    <w:rsid w:val="00E22472"/>
    <w:rsid w:val="00E230D9"/>
    <w:rsid w:val="00E43146"/>
    <w:rsid w:val="00E43359"/>
    <w:rsid w:val="00E454AB"/>
    <w:rsid w:val="00E53088"/>
    <w:rsid w:val="00E679E1"/>
    <w:rsid w:val="00E73FE3"/>
    <w:rsid w:val="00E804EF"/>
    <w:rsid w:val="00E876A6"/>
    <w:rsid w:val="00EA15E7"/>
    <w:rsid w:val="00EB03C0"/>
    <w:rsid w:val="00EB0F1B"/>
    <w:rsid w:val="00EB6E55"/>
    <w:rsid w:val="00EC4F04"/>
    <w:rsid w:val="00ED2FC6"/>
    <w:rsid w:val="00EE134B"/>
    <w:rsid w:val="00F01060"/>
    <w:rsid w:val="00F02D67"/>
    <w:rsid w:val="00F11659"/>
    <w:rsid w:val="00F168F1"/>
    <w:rsid w:val="00F17DE6"/>
    <w:rsid w:val="00F251AC"/>
    <w:rsid w:val="00F2611C"/>
    <w:rsid w:val="00F36CA4"/>
    <w:rsid w:val="00F60856"/>
    <w:rsid w:val="00F713C4"/>
    <w:rsid w:val="00F76F83"/>
    <w:rsid w:val="00F80042"/>
    <w:rsid w:val="00F915B8"/>
    <w:rsid w:val="00F94B86"/>
    <w:rsid w:val="00FC3253"/>
    <w:rsid w:val="00FC5228"/>
    <w:rsid w:val="00FD042E"/>
    <w:rsid w:val="00FD31AB"/>
    <w:rsid w:val="00FD7251"/>
    <w:rsid w:val="00FE3A42"/>
    <w:rsid w:val="00FE7CC4"/>
    <w:rsid w:val="00FF24DE"/>
    <w:rsid w:val="00FF27E7"/>
    <w:rsid w:val="372E7714"/>
    <w:rsid w:val="55462FE5"/>
    <w:rsid w:val="745041A6"/>
    <w:rsid w:val="74754F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page number"/>
    <w:qFormat/>
    <w:uiPriority w:val="99"/>
    <w:rPr>
      <w:rFonts w:cs="Times New Roman"/>
    </w:rPr>
  </w:style>
  <w:style w:type="character" w:customStyle="1" w:styleId="8">
    <w:name w:val="页眉 字符"/>
    <w:link w:val="3"/>
    <w:semiHidden/>
    <w:qFormat/>
    <w:locked/>
    <w:uiPriority w:val="99"/>
    <w:rPr>
      <w:rFonts w:ascii="Times New Roman" w:hAnsi="Times New Roman" w:eastAsia="宋体" w:cs="Times New Roman"/>
      <w:sz w:val="18"/>
      <w:szCs w:val="18"/>
    </w:rPr>
  </w:style>
  <w:style w:type="character" w:customStyle="1" w:styleId="9">
    <w:name w:val="页脚 字符"/>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3245</Words>
  <Characters>3362</Characters>
  <Lines>26</Lines>
  <Paragraphs>7</Paragraphs>
  <TotalTime>2</TotalTime>
  <ScaleCrop>false</ScaleCrop>
  <LinksUpToDate>false</LinksUpToDate>
  <CharactersWithSpaces>3617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2025-02-07T01:11:00Z</dcterms:created>
  <dc:creator>Custmor</dc:creator>
  <cp:lastModifiedBy>凉拌明玉子</cp:lastModifiedBy>
  <cp:lastPrinted>2018-04-27T03:41:00Z</cp:lastPrinted>
  <dcterms:modified xsi:type="dcterms:W3CDTF">2025-12-25T06:55:43Z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BCE1F094CFF14A628DACCFF70B84CEB2</vt:lpwstr>
  </property>
  <property fmtid="{D5CDD505-2E9C-101B-9397-08002B2CF9AE}" pid="4" name="KSOTemplateDocerSaveRecord">
    <vt:lpwstr>eyJoZGlkIjoiNzMzNGFhYTQwZDVjNjVmMDFlMTAxYjIwOTljNDhhZWQiLCJ1c2VySWQiOiIyMDEzOTMzNTkifQ==</vt:lpwstr>
  </property>
</Properties>
</file>