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5AE6D">
      <w:pPr>
        <w:spacing w:line="600" w:lineRule="exact"/>
        <w:rPr>
          <w:rFonts w:ascii="仿宋_GB2312" w:eastAsia="仿宋_GB2312"/>
          <w:sz w:val="32"/>
          <w:szCs w:val="32"/>
        </w:rPr>
      </w:pPr>
      <w:bookmarkStart w:id="2" w:name="_GoBack"/>
      <w:bookmarkEnd w:id="2"/>
    </w:p>
    <w:p w14:paraId="232EF823">
      <w:pPr>
        <w:spacing w:line="360" w:lineRule="auto"/>
        <w:jc w:val="center"/>
        <w:rPr>
          <w:rFonts w:hint="eastAsia" w:ascii="宋体" w:hAnsi="宋体"/>
          <w:b/>
          <w:sz w:val="72"/>
          <w:szCs w:val="72"/>
        </w:rPr>
      </w:pPr>
      <w:r>
        <w:rPr>
          <w:rFonts w:hint="eastAsia" w:ascii="宋体" w:hAnsi="宋体" w:eastAsia="宋体" w:cs="仿宋"/>
          <w:b/>
          <w:bCs/>
          <w:color w:val="000000"/>
          <w:kern w:val="0"/>
          <w:sz w:val="36"/>
          <w:szCs w:val="36"/>
        </w:rPr>
        <w:t>大连</w:t>
      </w:r>
      <w:r>
        <w:rPr>
          <w:rFonts w:hint="eastAsia" w:ascii="宋体" w:hAnsi="宋体" w:eastAsia="宋体" w:cs="仿宋"/>
          <w:b/>
          <w:bCs/>
          <w:color w:val="000000"/>
          <w:kern w:val="0"/>
          <w:sz w:val="36"/>
          <w:szCs w:val="36"/>
          <w:lang w:eastAsia="zh-CN"/>
        </w:rPr>
        <w:t>高新技术产业园区市场监管事务服务中心</w:t>
      </w:r>
    </w:p>
    <w:p w14:paraId="47425029">
      <w:pPr>
        <w:widowControl/>
        <w:spacing w:line="330" w:lineRule="atLeast"/>
        <w:jc w:val="center"/>
        <w:rPr>
          <w:rFonts w:ascii="宋体" w:hAnsi="宋体" w:eastAsia="宋体" w:cs="仿宋"/>
          <w:b/>
          <w:bCs/>
          <w:sz w:val="15"/>
          <w:szCs w:val="15"/>
        </w:rPr>
      </w:pPr>
    </w:p>
    <w:p w14:paraId="2C70237A">
      <w:pPr>
        <w:widowControl/>
        <w:spacing w:line="330" w:lineRule="atLeast"/>
        <w:jc w:val="center"/>
        <w:rPr>
          <w:rFonts w:ascii="宋体" w:hAnsi="宋体" w:eastAsia="宋体"/>
          <w:b/>
          <w:bCs/>
          <w:sz w:val="36"/>
          <w:szCs w:val="36"/>
        </w:rPr>
      </w:pPr>
      <w:r>
        <w:rPr>
          <w:rFonts w:hint="eastAsia" w:ascii="宋体" w:hAnsi="宋体" w:eastAsia="宋体" w:cs="仿宋"/>
          <w:b/>
          <w:bCs/>
          <w:sz w:val="36"/>
          <w:szCs w:val="36"/>
        </w:rPr>
        <w:t>20</w:t>
      </w:r>
      <w:r>
        <w:rPr>
          <w:rFonts w:hint="eastAsia" w:ascii="宋体" w:hAnsi="宋体" w:cs="仿宋"/>
          <w:b/>
          <w:bCs/>
          <w:sz w:val="36"/>
          <w:szCs w:val="36"/>
          <w:lang w:val="en-US" w:eastAsia="zh-CN"/>
        </w:rPr>
        <w:t>24</w:t>
      </w:r>
      <w:r>
        <w:rPr>
          <w:rFonts w:hint="eastAsia" w:ascii="宋体" w:hAnsi="宋体" w:eastAsia="宋体" w:cs="仿宋"/>
          <w:b/>
          <w:bCs/>
          <w:color w:val="000000"/>
          <w:kern w:val="0"/>
          <w:sz w:val="36"/>
          <w:szCs w:val="36"/>
        </w:rPr>
        <w:t>年部门预算</w:t>
      </w:r>
    </w:p>
    <w:p w14:paraId="6CD69181">
      <w:pPr>
        <w:widowControl/>
        <w:wordWrap/>
        <w:adjustRightInd/>
        <w:snapToGrid/>
        <w:spacing w:before="0" w:after="0" w:line="330" w:lineRule="atLeast"/>
        <w:ind w:left="0" w:leftChars="0" w:right="0" w:firstLine="602" w:firstLineChars="200"/>
        <w:jc w:val="left"/>
        <w:textAlignment w:val="auto"/>
        <w:rPr>
          <w:rFonts w:ascii="仿宋" w:hAnsi="仿宋" w:eastAsia="仿宋"/>
          <w:b/>
          <w:bCs/>
          <w:sz w:val="30"/>
          <w:szCs w:val="30"/>
        </w:rPr>
      </w:pPr>
      <w:r>
        <w:rPr>
          <w:rFonts w:ascii="仿宋" w:hAnsi="仿宋" w:eastAsia="仿宋" w:cs="仿宋"/>
          <w:b/>
          <w:bCs/>
          <w:sz w:val="30"/>
          <w:szCs w:val="30"/>
        </w:rPr>
        <w:t xml:space="preserve">                                                                                                                                                                                                                                  </w:t>
      </w:r>
    </w:p>
    <w:p w14:paraId="00169DD1">
      <w:pPr>
        <w:widowControl/>
        <w:wordWrap/>
        <w:adjustRightInd/>
        <w:snapToGrid/>
        <w:spacing w:before="0" w:after="0" w:line="330" w:lineRule="atLeast"/>
        <w:ind w:left="0" w:leftChars="0" w:right="0"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第一部分 部门概况</w:t>
      </w:r>
    </w:p>
    <w:p w14:paraId="49E7770A">
      <w:pPr>
        <w:widowControl/>
        <w:wordWrap/>
        <w:adjustRightInd/>
        <w:snapToGrid/>
        <w:spacing w:before="0" w:after="0" w:line="330" w:lineRule="atLeast"/>
        <w:ind w:right="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lang w:eastAsia="zh-CN"/>
        </w:rPr>
        <w:t>一、</w:t>
      </w:r>
      <w:r>
        <w:rPr>
          <w:rFonts w:hint="eastAsia" w:ascii="仿宋" w:hAnsi="仿宋" w:eastAsia="仿宋" w:cs="仿宋"/>
          <w:color w:val="000000"/>
          <w:kern w:val="0"/>
          <w:sz w:val="30"/>
          <w:szCs w:val="30"/>
        </w:rPr>
        <w:t>主要职责</w:t>
      </w:r>
    </w:p>
    <w:p w14:paraId="170304B1">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（一）为高新区市场监管局提供支持和服务保障。</w:t>
      </w:r>
    </w:p>
    <w:p w14:paraId="3447A974">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二）承担市场综合监督管理。贯彻执行国家、省、市市场监督管理的方针、政策和有关法律法规，查处违法违规行为；实施质量强市、食品安全和标准化等战略和有关规划；规范和维护市场秩序，营造诚实守信、公平竞争的市场环境。</w:t>
      </w:r>
    </w:p>
    <w:p w14:paraId="4576F04A">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（三）承担个体工商户统一登记注册。负责全区个体工商户的登记注册和监督管理工作；落实市场主体信息公示和共享机制，依法公示和共享有关信息。</w:t>
      </w:r>
    </w:p>
    <w:p w14:paraId="7CF57192">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（四）组织、指导和实施市场监管综合执法工作。组织、指导和实施市场监管综合执法工作，规范高新区市场监管中心行政执法行为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贯彻</w:t>
      </w:r>
      <w:r>
        <w:rPr>
          <w:rFonts w:hint="eastAsia" w:ascii="仿宋_GB2312" w:hAnsi="宋体" w:eastAsia="仿宋_GB2312"/>
          <w:sz w:val="32"/>
          <w:szCs w:val="32"/>
          <w:lang w:eastAsia="zh-CN"/>
        </w:rPr>
        <w:t>行政执法与刑事司法衔接机制。</w:t>
      </w:r>
    </w:p>
    <w:p w14:paraId="1F05704D">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（五）承担</w:t>
      </w:r>
      <w:r>
        <w:rPr>
          <w:rFonts w:hint="eastAsia" w:ascii="仿宋_GB2312" w:hAnsi="宋体" w:eastAsia="仿宋_GB2312"/>
          <w:sz w:val="32"/>
          <w:szCs w:val="32"/>
        </w:rPr>
        <w:t>反垄断统一执法。根据省、市市场监管部门部署，负责对反垄断、滥用市场支配地位和滥用行政权力排除、限制竞争等反不正当竞争违法行为进行查处。</w:t>
      </w:r>
    </w:p>
    <w:p w14:paraId="3101FD20">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六）承担监督管理市场秩序。依法监督管理市场交易、网络商品交易及有关服务的行为；负责网站判定、网络监测、网络经营专项检查、网络违法行为查处；查处价格收费违法违规、不正当竞争、违法直销、传销、侵犯商标专利知识产权和制售假冒伪劣行为；负责广告日常监管和违法行为查处；依法查处无证照生产经营食品等违法行为；负责合同格式条款日常监管、专项检查及合同违法行为查处；监督管理行政审批中介服务机构；查处侵犯商业秘密违法行为。</w:t>
      </w:r>
    </w:p>
    <w:p w14:paraId="4C0738A4">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（七）承担宏观质量管理。参与重大产品质量事故调查；参与缺陷产品召回；参与开展重大工程设备质量监理和监督管理产品防伪；参与组织实施质量强区战略</w:t>
      </w:r>
      <w:r>
        <w:rPr>
          <w:rFonts w:hint="eastAsia" w:ascii="仿宋_GB2312" w:hAnsi="宋体" w:eastAsia="仿宋_GB2312"/>
          <w:sz w:val="32"/>
          <w:szCs w:val="32"/>
          <w:lang w:eastAsia="zh-CN"/>
        </w:rPr>
        <w:t>。</w:t>
      </w:r>
    </w:p>
    <w:p w14:paraId="3B9F130C">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八</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承担</w:t>
      </w:r>
      <w:r>
        <w:rPr>
          <w:rFonts w:hint="eastAsia" w:ascii="仿宋_GB2312" w:hAnsi="宋体" w:eastAsia="仿宋_GB2312"/>
          <w:sz w:val="32"/>
          <w:szCs w:val="32"/>
          <w:lang w:eastAsia="zh-CN"/>
        </w:rPr>
        <w:t>产品质量安全监督管理。</w:t>
      </w:r>
      <w:r>
        <w:rPr>
          <w:rFonts w:hint="eastAsia" w:ascii="仿宋_GB2312" w:hAnsi="宋体" w:eastAsia="仿宋_GB2312"/>
          <w:sz w:val="32"/>
          <w:szCs w:val="32"/>
          <w:lang w:val="en-US" w:eastAsia="zh-CN"/>
        </w:rPr>
        <w:t>参与</w:t>
      </w:r>
      <w:r>
        <w:rPr>
          <w:rFonts w:hint="eastAsia" w:ascii="仿宋_GB2312" w:hAnsi="宋体" w:eastAsia="仿宋_GB2312"/>
          <w:sz w:val="32"/>
          <w:szCs w:val="32"/>
          <w:lang w:eastAsia="zh-CN"/>
        </w:rPr>
        <w:t>产品质量监督抽查、</w:t>
      </w:r>
      <w:r>
        <w:rPr>
          <w:rFonts w:hint="eastAsia" w:ascii="仿宋_GB2312" w:hAnsi="宋体" w:eastAsia="仿宋_GB2312"/>
          <w:sz w:val="32"/>
          <w:szCs w:val="32"/>
          <w:lang w:val="en-US" w:eastAsia="zh-CN"/>
        </w:rPr>
        <w:t>检查</w:t>
      </w:r>
      <w:r>
        <w:rPr>
          <w:rFonts w:hint="eastAsia" w:ascii="仿宋_GB2312" w:hAnsi="宋体" w:eastAsia="仿宋_GB2312"/>
          <w:sz w:val="32"/>
          <w:szCs w:val="32"/>
          <w:lang w:eastAsia="zh-CN"/>
        </w:rPr>
        <w:t>和风险监控工作；</w:t>
      </w:r>
      <w:r>
        <w:rPr>
          <w:rFonts w:hint="eastAsia" w:ascii="仿宋_GB2312" w:hAnsi="宋体" w:eastAsia="仿宋_GB2312"/>
          <w:sz w:val="32"/>
          <w:szCs w:val="32"/>
          <w:lang w:val="en-US" w:eastAsia="zh-CN"/>
        </w:rPr>
        <w:t>负责落实质量分级制度、质量安全追溯制度；负责工业产品（含食品相关产品）生产许可日常监督管理及违法行为查处</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负责监督管理产品防伪工作及违法行为查处</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参与产品质量安全事件应急处置和调查处理工作。</w:t>
      </w:r>
    </w:p>
    <w:p w14:paraId="6FAEDF2D">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（九）承担特种设备安全监督管理。负责特种设备安全监察、监督工作，监督检查高耗能特种设备节能标准和锅炉环境保护标准的执行情况；参与特种设备安全事故应急处置和调查处理工作。</w:t>
      </w:r>
    </w:p>
    <w:p w14:paraId="41AFF4F2">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承担食品安全监督管理综合协调。参与开展食品安全监督管理综合协调工作；参与食品安全事件应急处置和调查处理工作；参与落实食品安全重要信息直报制度；配合高新区市场监管局做好高新区食品安全领导小组（委员会）日常工作。</w:t>
      </w:r>
    </w:p>
    <w:p w14:paraId="259DE25D">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一）承担食品（特殊食品）安全监督管理。参与实施食品（特殊食品）生产、流通、消费全过程的监督检查制度和隐患排查治理机制，防范区域性、系统性食品（特殊食品）安全风险；参与建立健全食品（特殊食品）生产经营者落实主体责任机制和食品（特殊食品）安全追溯体系；参与开展食品（特殊食品）安全监督抽检、风险监测、核查处置和风险预警、风险交流工作。履行高新区市场监管局派出机构职能，参与审核食品生产经营许可并管理相应档案。</w:t>
      </w:r>
    </w:p>
    <w:p w14:paraId="76CD59C3">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（十二）承担管理计量工作。参与推行国家法定计量单位，执行国家计量制度，管理计量器具及量值传递和比对工作；负责规范、监督管理商品量和市场计量行为；参与强检计量器具管理。</w:t>
      </w:r>
    </w:p>
    <w:p w14:paraId="46398217">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（十三）承担管理标准化工作。参与</w:t>
      </w:r>
      <w:r>
        <w:rPr>
          <w:rFonts w:hint="eastAsia" w:ascii="仿宋_GB2312" w:hAnsi="宋体" w:eastAsia="仿宋_GB2312"/>
          <w:sz w:val="32"/>
          <w:szCs w:val="32"/>
        </w:rPr>
        <w:t>查处</w:t>
      </w:r>
      <w:r>
        <w:rPr>
          <w:rFonts w:hint="eastAsia" w:ascii="仿宋_GB2312" w:hAnsi="宋体" w:eastAsia="仿宋_GB2312"/>
          <w:sz w:val="32"/>
          <w:szCs w:val="32"/>
          <w:lang w:val="en-US" w:eastAsia="zh-CN"/>
        </w:rPr>
        <w:t>标准化</w:t>
      </w:r>
      <w:r>
        <w:rPr>
          <w:rFonts w:hint="eastAsia" w:ascii="仿宋_GB2312" w:hAnsi="宋体" w:eastAsia="仿宋_GB2312"/>
          <w:sz w:val="32"/>
          <w:szCs w:val="32"/>
        </w:rPr>
        <w:t>违法行为。</w:t>
      </w:r>
    </w:p>
    <w:p w14:paraId="07DD38B5">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十四</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承担管理检验检测工作。参与规范检验检测市场，完善检验检测体系，指导协调检验检测行业发展。</w:t>
      </w:r>
    </w:p>
    <w:p w14:paraId="155583B1">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（十五）承担监督管理认证认可工作。参与开展认证认可和合格评定监督管理工作。</w:t>
      </w:r>
    </w:p>
    <w:p w14:paraId="3F0BC1AE">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十六</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承担高新区市场监管中心</w:t>
      </w:r>
      <w:r>
        <w:rPr>
          <w:rFonts w:hint="eastAsia" w:ascii="仿宋_GB2312" w:hAnsi="宋体" w:eastAsia="仿宋_GB2312"/>
          <w:sz w:val="32"/>
          <w:szCs w:val="32"/>
          <w:lang w:eastAsia="zh-CN"/>
        </w:rPr>
        <w:t>科技和信息化建设、新闻宣传</w:t>
      </w:r>
      <w:r>
        <w:rPr>
          <w:rFonts w:hint="eastAsia" w:ascii="仿宋_GB2312" w:hAnsi="宋体" w:eastAsia="仿宋_GB2312"/>
          <w:sz w:val="32"/>
          <w:szCs w:val="32"/>
          <w:lang w:val="en-US" w:eastAsia="zh-CN"/>
        </w:rPr>
        <w:t>工作</w:t>
      </w:r>
      <w:r>
        <w:rPr>
          <w:rFonts w:hint="eastAsia" w:ascii="仿宋_GB2312" w:hAnsi="宋体" w:eastAsia="仿宋_GB2312"/>
          <w:sz w:val="32"/>
          <w:szCs w:val="32"/>
          <w:lang w:eastAsia="zh-CN"/>
        </w:rPr>
        <w:t>。</w:t>
      </w:r>
    </w:p>
    <w:p w14:paraId="153523B4">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十七</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承担</w:t>
      </w:r>
      <w:r>
        <w:rPr>
          <w:rFonts w:hint="eastAsia" w:ascii="仿宋_GB2312" w:hAnsi="宋体" w:eastAsia="仿宋_GB2312"/>
          <w:sz w:val="32"/>
          <w:szCs w:val="32"/>
          <w:lang w:eastAsia="zh-CN"/>
        </w:rPr>
        <w:t>化妆品监督</w:t>
      </w:r>
      <w:r>
        <w:rPr>
          <w:rFonts w:hint="eastAsia" w:ascii="仿宋_GB2312" w:hAnsi="宋体" w:eastAsia="仿宋_GB2312"/>
          <w:sz w:val="32"/>
          <w:szCs w:val="32"/>
          <w:lang w:val="en-US" w:eastAsia="zh-CN"/>
        </w:rPr>
        <w:t>管理</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参与</w:t>
      </w:r>
      <w:r>
        <w:rPr>
          <w:rFonts w:hint="eastAsia" w:ascii="仿宋_GB2312" w:hAnsi="宋体" w:eastAsia="仿宋_GB2312"/>
          <w:sz w:val="32"/>
          <w:szCs w:val="32"/>
          <w:lang w:eastAsia="zh-CN"/>
        </w:rPr>
        <w:t>贯彻执行国家、省、市化妆品安全监督管理的法律、法规和规章，</w:t>
      </w:r>
      <w:r>
        <w:rPr>
          <w:rFonts w:hint="eastAsia" w:ascii="仿宋_GB2312" w:hAnsi="宋体" w:eastAsia="仿宋_GB2312"/>
          <w:sz w:val="32"/>
          <w:szCs w:val="32"/>
          <w:lang w:val="en-US" w:eastAsia="zh-CN"/>
        </w:rPr>
        <w:t>落实</w:t>
      </w:r>
      <w:r>
        <w:rPr>
          <w:rFonts w:hint="eastAsia" w:ascii="仿宋_GB2312" w:hAnsi="宋体" w:eastAsia="仿宋_GB2312"/>
          <w:sz w:val="32"/>
          <w:szCs w:val="32"/>
          <w:lang w:eastAsia="zh-CN"/>
        </w:rPr>
        <w:t>检查制度；</w:t>
      </w:r>
      <w:r>
        <w:rPr>
          <w:rFonts w:hint="eastAsia" w:ascii="仿宋_GB2312" w:hAnsi="宋体" w:eastAsia="仿宋_GB2312"/>
          <w:sz w:val="32"/>
          <w:szCs w:val="32"/>
          <w:lang w:val="en-US" w:eastAsia="zh-CN"/>
        </w:rPr>
        <w:t>参与化妆品经营行为</w:t>
      </w:r>
      <w:r>
        <w:rPr>
          <w:rFonts w:hint="eastAsia" w:ascii="仿宋_GB2312" w:hAnsi="宋体" w:eastAsia="仿宋_GB2312"/>
          <w:sz w:val="32"/>
          <w:szCs w:val="32"/>
          <w:lang w:eastAsia="zh-CN"/>
        </w:rPr>
        <w:t>的</w:t>
      </w:r>
      <w:r>
        <w:rPr>
          <w:rFonts w:hint="eastAsia" w:ascii="仿宋_GB2312" w:hAnsi="宋体" w:eastAsia="仿宋_GB2312"/>
          <w:sz w:val="32"/>
          <w:szCs w:val="32"/>
          <w:lang w:val="en-US" w:eastAsia="zh-CN"/>
        </w:rPr>
        <w:t>查处</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参与</w:t>
      </w:r>
      <w:r>
        <w:rPr>
          <w:rFonts w:hint="eastAsia" w:ascii="仿宋_GB2312" w:hAnsi="宋体" w:eastAsia="仿宋_GB2312"/>
          <w:sz w:val="32"/>
          <w:szCs w:val="32"/>
          <w:lang w:eastAsia="zh-CN"/>
        </w:rPr>
        <w:t>实施问题产品召回和处置制度。</w:t>
      </w:r>
    </w:p>
    <w:p w14:paraId="41FA75CC">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十八</w:t>
      </w:r>
      <w:r>
        <w:rPr>
          <w:rFonts w:hint="eastAsia" w:ascii="仿宋_GB2312" w:hAnsi="宋体" w:eastAsia="仿宋_GB2312"/>
          <w:sz w:val="32"/>
          <w:szCs w:val="32"/>
          <w:lang w:eastAsia="zh-CN"/>
        </w:rPr>
        <w:t>）承担保护知识产权。</w:t>
      </w:r>
      <w:r>
        <w:rPr>
          <w:rFonts w:hint="eastAsia" w:ascii="仿宋_GB2312" w:hAnsi="宋体" w:eastAsia="仿宋_GB2312"/>
          <w:sz w:val="32"/>
          <w:szCs w:val="32"/>
          <w:lang w:val="en-US" w:eastAsia="zh-CN"/>
        </w:rPr>
        <w:t>参与</w:t>
      </w:r>
      <w:r>
        <w:rPr>
          <w:rFonts w:hint="eastAsia" w:ascii="仿宋_GB2312" w:hAnsi="宋体" w:eastAsia="仿宋_GB2312"/>
          <w:sz w:val="32"/>
          <w:szCs w:val="32"/>
          <w:lang w:eastAsia="zh-CN"/>
        </w:rPr>
        <w:t>贯彻执行国家保护商标、专利、原产地地理标志等知识产权制度</w:t>
      </w:r>
      <w:r>
        <w:rPr>
          <w:rFonts w:hint="eastAsia" w:ascii="仿宋_GB2312" w:hAnsi="宋体" w:eastAsia="仿宋_GB2312"/>
          <w:sz w:val="32"/>
          <w:szCs w:val="32"/>
          <w:lang w:val="en-US" w:eastAsia="zh-CN"/>
        </w:rPr>
        <w:t>和</w:t>
      </w:r>
      <w:r>
        <w:rPr>
          <w:rFonts w:hint="eastAsia" w:ascii="仿宋_GB2312" w:hAnsi="宋体" w:eastAsia="仿宋_GB2312"/>
          <w:sz w:val="32"/>
          <w:szCs w:val="32"/>
          <w:lang w:eastAsia="zh-CN"/>
        </w:rPr>
        <w:t>国家有关知识产权和专利工作的方针政策与法律法规；</w:t>
      </w:r>
      <w:r>
        <w:rPr>
          <w:rFonts w:hint="eastAsia" w:ascii="仿宋_GB2312" w:hAnsi="宋体" w:eastAsia="仿宋_GB2312"/>
          <w:sz w:val="32"/>
          <w:szCs w:val="32"/>
          <w:lang w:val="en-US" w:eastAsia="zh-CN"/>
        </w:rPr>
        <w:t>负责</w:t>
      </w:r>
      <w:r>
        <w:rPr>
          <w:rFonts w:hint="eastAsia" w:ascii="仿宋_GB2312" w:hAnsi="宋体" w:eastAsia="仿宋_GB2312"/>
          <w:sz w:val="32"/>
          <w:szCs w:val="32"/>
          <w:lang w:eastAsia="zh-CN"/>
        </w:rPr>
        <w:t>实施商标、专利执法工作，</w:t>
      </w:r>
      <w:r>
        <w:rPr>
          <w:rFonts w:hint="eastAsia" w:ascii="仿宋_GB2312" w:hAnsi="宋体" w:eastAsia="仿宋_GB2312"/>
          <w:sz w:val="32"/>
          <w:szCs w:val="32"/>
          <w:lang w:val="en-US" w:eastAsia="zh-CN"/>
        </w:rPr>
        <w:t>负责</w:t>
      </w:r>
      <w:r>
        <w:rPr>
          <w:rFonts w:hint="eastAsia" w:ascii="仿宋_GB2312" w:hAnsi="宋体" w:eastAsia="仿宋_GB2312"/>
          <w:sz w:val="32"/>
          <w:szCs w:val="32"/>
          <w:lang w:eastAsia="zh-CN"/>
        </w:rPr>
        <w:t>知识产权争议处理、维权援助和纠纷调处。</w:t>
      </w:r>
    </w:p>
    <w:p w14:paraId="09AED86A">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(十九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承担信用监管工作。负责市场主体日常监督管理、专项检查及违法违规行为查处；负责企业及个体工商户年报工作以及年报修改初审、双随机抽查、异常名录管理、休眠市场主体清理、冒名登记投诉调查、执法办案、无照无证生产经营行为查处等。</w:t>
      </w:r>
    </w:p>
    <w:p w14:paraId="4303F587">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（二十）承担高新区市场监管领域</w:t>
      </w:r>
      <w:r>
        <w:rPr>
          <w:rFonts w:hint="eastAsia" w:ascii="仿宋_GB2312" w:hAnsi="宋体" w:eastAsia="仿宋_GB2312"/>
          <w:sz w:val="32"/>
          <w:szCs w:val="32"/>
        </w:rPr>
        <w:t>投诉举报</w:t>
      </w:r>
      <w:r>
        <w:rPr>
          <w:rFonts w:hint="eastAsia" w:ascii="仿宋_GB2312" w:hAnsi="宋体" w:eastAsia="仿宋_GB2312"/>
          <w:sz w:val="32"/>
          <w:szCs w:val="32"/>
          <w:lang w:val="en-US" w:eastAsia="zh-CN"/>
        </w:rPr>
        <w:t>办理</w:t>
      </w:r>
      <w:r>
        <w:rPr>
          <w:rFonts w:hint="eastAsia" w:ascii="仿宋_GB2312" w:hAnsi="宋体" w:eastAsia="仿宋_GB2312"/>
          <w:sz w:val="32"/>
          <w:szCs w:val="32"/>
        </w:rPr>
        <w:t>工作。</w:t>
      </w:r>
    </w:p>
    <w:p w14:paraId="4B2EE380">
      <w:pPr>
        <w:wordWrap/>
        <w:adjustRightInd/>
        <w:snapToGrid/>
        <w:spacing w:before="0" w:after="0"/>
        <w:ind w:left="0" w:leftChars="0" w:right="0" w:firstLine="640" w:firstLineChars="200"/>
        <w:textAlignment w:val="auto"/>
        <w:outlineLvl w:val="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（二十一）完成高新区市场监管局交办的其他任务</w:t>
      </w:r>
    </w:p>
    <w:p w14:paraId="53E34D06">
      <w:pPr>
        <w:widowControl/>
        <w:wordWrap/>
        <w:adjustRightInd/>
        <w:snapToGrid/>
        <w:spacing w:before="0" w:after="0" w:line="330" w:lineRule="atLeast"/>
        <w:ind w:left="0" w:leftChars="0" w:right="0"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0594D25B">
      <w:pPr>
        <w:widowControl w:val="0"/>
        <w:numPr>
          <w:ilvl w:val="0"/>
          <w:numId w:val="0"/>
        </w:numPr>
        <w:wordWrap/>
        <w:adjustRightInd/>
        <w:snapToGrid/>
        <w:spacing w:before="0" w:after="0" w:line="240" w:lineRule="auto"/>
        <w:ind w:left="0" w:leftChars="0" w:right="0" w:firstLine="640" w:firstLineChars="200"/>
        <w:jc w:val="lef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大连高新技术产业园区市场监管事务服务中心部门预算</w:t>
      </w:r>
      <w:r>
        <w:rPr>
          <w:rFonts w:hint="eastAsia" w:ascii="仿宋" w:hAnsi="仿宋" w:eastAsia="仿宋" w:cs="仿宋"/>
          <w:color w:val="000000"/>
          <w:kern w:val="0"/>
          <w:sz w:val="30"/>
          <w:szCs w:val="30"/>
        </w:rPr>
        <w:t>单位</w:t>
      </w:r>
      <w:r>
        <w:rPr>
          <w:rFonts w:hint="eastAsia" w:ascii="仿宋_GB2312" w:hAnsi="宋体" w:eastAsia="仿宋_GB2312"/>
          <w:sz w:val="32"/>
          <w:szCs w:val="32"/>
          <w:lang w:val="en-US" w:eastAsia="zh-CN"/>
        </w:rPr>
        <w:t>仅包括大连高新技术产业园区市场监管事务服务中心本级，无下属行政事业单位。大连高新技术产业园区市场监管事务服务中心内设机构三个，包括：凌水市场监督管理所、七贤岭市场监督管理所、龙王塘市场监督管理所。</w:t>
      </w:r>
    </w:p>
    <w:p w14:paraId="080FC17D">
      <w:pPr>
        <w:widowControl/>
        <w:wordWrap/>
        <w:adjustRightInd/>
        <w:snapToGrid/>
        <w:spacing w:before="0" w:after="0" w:line="330" w:lineRule="atLeast"/>
        <w:ind w:left="0" w:leftChars="0" w:right="0" w:firstLine="600" w:firstLineChars="200"/>
        <w:jc w:val="left"/>
        <w:textAlignment w:val="auto"/>
        <w:rPr>
          <w:rFonts w:ascii="仿宋" w:hAnsi="仿宋" w:eastAsia="仿宋" w:cs="仿宋"/>
          <w:color w:val="000000"/>
          <w:kern w:val="0"/>
          <w:sz w:val="30"/>
          <w:szCs w:val="30"/>
        </w:rPr>
      </w:pPr>
    </w:p>
    <w:p w14:paraId="49FEE588">
      <w:pPr>
        <w:pStyle w:val="2"/>
      </w:pPr>
    </w:p>
    <w:p w14:paraId="5E8FFD63">
      <w:pPr>
        <w:widowControl/>
        <w:wordWrap/>
        <w:adjustRightInd/>
        <w:snapToGrid/>
        <w:spacing w:before="0" w:after="0" w:line="330" w:lineRule="atLeast"/>
        <w:ind w:left="0" w:leftChars="0" w:right="0" w:firstLine="600" w:firstLineChars="200"/>
        <w:jc w:val="left"/>
        <w:textAlignment w:val="auto"/>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0CEBD55">
      <w:pPr>
        <w:widowControl/>
        <w:wordWrap/>
        <w:adjustRightInd/>
        <w:snapToGrid/>
        <w:spacing w:before="0" w:after="0" w:line="330" w:lineRule="atLeast"/>
        <w:ind w:left="0" w:leftChars="0" w:right="0" w:firstLine="600" w:firstLineChars="200"/>
        <w:jc w:val="left"/>
        <w:textAlignment w:val="auto"/>
        <w:rPr>
          <w:rFonts w:hint="eastAsia" w:ascii="仿宋" w:hAnsi="仿宋" w:eastAsia="仿宋" w:cs="仿宋"/>
          <w:bCs/>
          <w:color w:val="000000"/>
          <w:sz w:val="30"/>
          <w:szCs w:val="30"/>
        </w:rPr>
      </w:pPr>
      <w:r>
        <w:rPr>
          <w:rFonts w:hint="eastAsia" w:ascii="仿宋" w:hAnsi="仿宋" w:eastAsia="仿宋" w:cs="仿宋"/>
          <w:bCs/>
          <w:color w:val="000000"/>
          <w:kern w:val="0"/>
          <w:sz w:val="30"/>
          <w:szCs w:val="30"/>
        </w:rPr>
        <w:t>一、总体说明</w:t>
      </w:r>
    </w:p>
    <w:p w14:paraId="33639A24">
      <w:pPr>
        <w:widowControl/>
        <w:wordWrap/>
        <w:adjustRightInd/>
        <w:snapToGrid/>
        <w:spacing w:before="0" w:after="0" w:line="330" w:lineRule="atLeast"/>
        <w:ind w:left="0" w:leftChars="0" w:right="0"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按照综合预算的原则，本部门所有收入和支出均纳入部门预算管理。收入包括：财政拨款收入</w:t>
      </w:r>
      <w:r>
        <w:rPr>
          <w:rFonts w:hint="eastAsia" w:ascii="仿宋_GB2312" w:eastAsia="仿宋_GB2312"/>
          <w:sz w:val="32"/>
          <w:szCs w:val="32"/>
          <w:lang w:val="en-US" w:eastAsia="zh-CN"/>
        </w:rPr>
        <w:t>896.83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val="en-US" w:eastAsia="zh-CN"/>
        </w:rPr>
        <w:t>,其中包括一般公共预算拨款收入</w:t>
      </w:r>
      <w:r>
        <w:rPr>
          <w:rFonts w:hint="eastAsia" w:ascii="仿宋_GB2312" w:eastAsia="仿宋_GB2312"/>
          <w:sz w:val="32"/>
          <w:szCs w:val="32"/>
          <w:lang w:val="en-US" w:eastAsia="zh-CN"/>
        </w:rPr>
        <w:t>896.83</w:t>
      </w:r>
      <w:r>
        <w:rPr>
          <w:rFonts w:hint="eastAsia" w:ascii="仿宋" w:hAnsi="仿宋" w:eastAsia="仿宋" w:cs="仿宋"/>
          <w:color w:val="000000"/>
          <w:kern w:val="0"/>
          <w:sz w:val="30"/>
          <w:szCs w:val="30"/>
          <w:lang w:val="en-US" w:eastAsia="zh-CN"/>
        </w:rPr>
        <w:t>万元，</w:t>
      </w:r>
      <w:r>
        <w:rPr>
          <w:rFonts w:hint="eastAsia" w:ascii="仿宋" w:hAnsi="仿宋" w:eastAsia="仿宋" w:cs="仿宋"/>
          <w:color w:val="000000"/>
          <w:kern w:val="0"/>
          <w:sz w:val="30"/>
          <w:szCs w:val="30"/>
        </w:rPr>
        <w:t>支出</w:t>
      </w:r>
      <w:r>
        <w:rPr>
          <w:rFonts w:hint="eastAsia" w:ascii="仿宋" w:hAnsi="仿宋" w:eastAsia="仿宋" w:cs="仿宋"/>
          <w:color w:val="000000"/>
          <w:kern w:val="0"/>
          <w:sz w:val="30"/>
          <w:szCs w:val="30"/>
          <w:lang w:eastAsia="zh-CN"/>
        </w:rPr>
        <w:t>预算</w:t>
      </w:r>
      <w:r>
        <w:rPr>
          <w:rFonts w:hint="eastAsia" w:ascii="仿宋_GB2312" w:eastAsia="仿宋_GB2312"/>
          <w:sz w:val="32"/>
          <w:szCs w:val="32"/>
          <w:lang w:val="en-US" w:eastAsia="zh-CN"/>
        </w:rPr>
        <w:t>896.83</w:t>
      </w:r>
      <w:r>
        <w:rPr>
          <w:rFonts w:hint="eastAsia" w:ascii="仿宋" w:hAnsi="仿宋" w:eastAsia="仿宋" w:cs="仿宋"/>
          <w:color w:val="000000"/>
          <w:kern w:val="0"/>
          <w:sz w:val="30"/>
          <w:szCs w:val="30"/>
          <w:lang w:val="en-US" w:eastAsia="zh-CN"/>
        </w:rPr>
        <w:t>万元，</w:t>
      </w:r>
      <w:bookmarkStart w:id="0" w:name="OLE_LINK101"/>
      <w:bookmarkStart w:id="1" w:name="OLE_LINK102"/>
      <w:r>
        <w:rPr>
          <w:rFonts w:hint="eastAsia" w:ascii="仿宋" w:hAnsi="仿宋" w:eastAsia="仿宋" w:cs="仿宋"/>
          <w:color w:val="000000"/>
          <w:kern w:val="0"/>
          <w:sz w:val="30"/>
          <w:szCs w:val="30"/>
          <w:lang w:val="en-US" w:eastAsia="zh-CN"/>
        </w:rPr>
        <w:t>其中</w:t>
      </w:r>
      <w:r>
        <w:rPr>
          <w:rFonts w:hint="eastAsia" w:ascii="仿宋" w:hAnsi="仿宋" w:eastAsia="仿宋" w:cs="仿宋"/>
          <w:color w:val="000000"/>
          <w:kern w:val="0"/>
          <w:sz w:val="30"/>
          <w:szCs w:val="30"/>
        </w:rPr>
        <w:t>工资福利和对个人家庭补助支出</w:t>
      </w:r>
      <w:r>
        <w:rPr>
          <w:rFonts w:hint="eastAsia" w:ascii="仿宋_GB2312" w:eastAsia="仿宋_GB2312"/>
          <w:sz w:val="32"/>
          <w:szCs w:val="32"/>
          <w:lang w:val="en-US" w:eastAsia="zh-CN"/>
        </w:rPr>
        <w:t>682.82</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_GB2312" w:eastAsia="仿宋_GB2312"/>
          <w:sz w:val="32"/>
          <w:szCs w:val="32"/>
          <w:lang w:val="en-US" w:eastAsia="zh-CN"/>
        </w:rPr>
        <w:t>214.01</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与</w:t>
      </w:r>
      <w:r>
        <w:rPr>
          <w:rFonts w:hint="eastAsia" w:ascii="仿宋" w:hAnsi="仿宋" w:eastAsia="仿宋" w:cs="仿宋"/>
          <w:color w:val="000000"/>
          <w:kern w:val="0"/>
          <w:sz w:val="30"/>
          <w:szCs w:val="30"/>
          <w:lang w:val="en-US" w:eastAsia="zh-CN"/>
        </w:rPr>
        <w:t>2023年预算增减变化情况：比2023年预算数减少82.87万元，其中</w:t>
      </w:r>
      <w:r>
        <w:rPr>
          <w:rFonts w:hint="eastAsia" w:ascii="仿宋" w:hAnsi="仿宋" w:eastAsia="仿宋" w:cs="仿宋"/>
          <w:color w:val="000000"/>
          <w:kern w:val="0"/>
          <w:sz w:val="30"/>
          <w:szCs w:val="30"/>
        </w:rPr>
        <w:t>工资福利和对个人家庭补助支出</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90.15万元，</w:t>
      </w:r>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eastAsia="zh-CN"/>
        </w:rPr>
        <w:t>增加</w:t>
      </w:r>
      <w:r>
        <w:rPr>
          <w:rFonts w:hint="eastAsia" w:ascii="仿宋" w:hAnsi="仿宋" w:eastAsia="仿宋" w:cs="仿宋"/>
          <w:color w:val="000000"/>
          <w:kern w:val="0"/>
          <w:sz w:val="30"/>
          <w:szCs w:val="30"/>
          <w:lang w:val="en-US" w:eastAsia="zh-CN"/>
        </w:rPr>
        <w:t>7.28万元。</w:t>
      </w:r>
    </w:p>
    <w:p w14:paraId="4D69B9C8">
      <w:pPr>
        <w:widowControl/>
        <w:wordWrap/>
        <w:adjustRightInd/>
        <w:snapToGrid/>
        <w:spacing w:before="0" w:after="0" w:line="330" w:lineRule="atLeast"/>
        <w:ind w:left="0" w:leftChars="0" w:right="0"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全部为一般公共预算收支，无政府性基金预算收支，无国有资本经营预算收支。</w:t>
      </w:r>
    </w:p>
    <w:p w14:paraId="2F27616D">
      <w:pPr>
        <w:widowControl/>
        <w:wordWrap/>
        <w:adjustRightInd/>
        <w:snapToGrid/>
        <w:spacing w:before="0" w:after="0" w:line="330" w:lineRule="atLeast"/>
        <w:ind w:left="0" w:leftChars="0" w:right="0" w:firstLine="600" w:firstLineChars="200"/>
        <w:jc w:val="left"/>
        <w:textAlignment w:val="auto"/>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3BA02B8C">
      <w:pPr>
        <w:wordWrap/>
        <w:adjustRightInd/>
        <w:snapToGrid/>
        <w:spacing w:before="0" w:after="0" w:line="600" w:lineRule="exact"/>
        <w:ind w:left="0" w:leftChars="0" w:right="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sz w:val="30"/>
          <w:szCs w:val="30"/>
        </w:rPr>
        <w:t>无“三公”经费支出。</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053BD6A4">
      <w:pPr>
        <w:widowControl/>
        <w:wordWrap/>
        <w:adjustRightInd/>
        <w:snapToGrid/>
        <w:spacing w:before="0" w:after="0" w:line="330" w:lineRule="atLeast"/>
        <w:ind w:left="0" w:leftChars="0" w:right="0" w:firstLine="600" w:firstLineChars="200"/>
        <w:jc w:val="left"/>
        <w:textAlignment w:val="auto"/>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7575A0D">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公用经费</w:t>
      </w:r>
      <w:r>
        <w:rPr>
          <w:rFonts w:hint="eastAsia" w:ascii="仿宋" w:hAnsi="仿宋" w:eastAsia="仿宋" w:cs="仿宋"/>
          <w:sz w:val="30"/>
          <w:szCs w:val="30"/>
          <w:lang w:val="en-US" w:eastAsia="zh-CN"/>
        </w:rPr>
        <w:t>29.1</w:t>
      </w:r>
      <w:r>
        <w:rPr>
          <w:rFonts w:hint="eastAsia" w:ascii="仿宋" w:hAnsi="仿宋" w:eastAsia="仿宋" w:cs="仿宋"/>
          <w:color w:val="000000"/>
          <w:kern w:val="0"/>
          <w:sz w:val="30"/>
          <w:szCs w:val="30"/>
        </w:rPr>
        <w:t>万元。</w:t>
      </w:r>
    </w:p>
    <w:p w14:paraId="1F48049E">
      <w:pPr>
        <w:widowControl/>
        <w:wordWrap/>
        <w:adjustRightInd/>
        <w:snapToGrid/>
        <w:spacing w:before="0" w:after="0" w:line="330" w:lineRule="atLeast"/>
        <w:ind w:left="0" w:leftChars="0" w:right="0"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四、政府采购情况说明</w:t>
      </w:r>
    </w:p>
    <w:p w14:paraId="1FAC3187">
      <w:pPr>
        <w:widowControl/>
        <w:wordWrap/>
        <w:adjustRightInd/>
        <w:snapToGrid/>
        <w:spacing w:before="0" w:after="0" w:line="330" w:lineRule="atLeast"/>
        <w:ind w:left="0" w:leftChars="0" w:right="0"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无</w:t>
      </w:r>
      <w:r>
        <w:rPr>
          <w:rFonts w:hint="eastAsia" w:ascii="仿宋" w:hAnsi="仿宋" w:eastAsia="仿宋" w:cs="仿宋"/>
          <w:color w:val="000000"/>
          <w:kern w:val="0"/>
          <w:sz w:val="30"/>
          <w:szCs w:val="30"/>
        </w:rPr>
        <w:t>政府采购支出</w:t>
      </w:r>
    </w:p>
    <w:p w14:paraId="79E9C382">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B65087C">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64C7EED1">
      <w:pPr>
        <w:wordWrap/>
        <w:adjustRightInd/>
        <w:snapToGrid/>
        <w:spacing w:before="0" w:after="0" w:line="330" w:lineRule="atLeast"/>
        <w:ind w:right="0"/>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rPr>
        <w:t>六、国有资产占有使用情况说明</w:t>
      </w:r>
    </w:p>
    <w:p w14:paraId="79D8A51A">
      <w:pPr>
        <w:wordWrap/>
        <w:adjustRightInd/>
        <w:snapToGrid/>
        <w:spacing w:before="0" w:after="0"/>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3</w:t>
      </w:r>
      <w:r>
        <w:rPr>
          <w:rFonts w:hint="eastAsia" w:ascii="仿宋_GB2312" w:eastAsia="仿宋_GB2312"/>
          <w:sz w:val="32"/>
          <w:szCs w:val="32"/>
        </w:rPr>
        <w:t>年12月31日，部门共有车辆</w:t>
      </w:r>
      <w:r>
        <w:rPr>
          <w:rFonts w:hint="eastAsia" w:ascii="仿宋_GB2312" w:eastAsia="仿宋_GB2312"/>
          <w:sz w:val="32"/>
          <w:szCs w:val="32"/>
          <w:lang w:val="en-US" w:eastAsia="zh-CN"/>
        </w:rPr>
        <w:t>0</w:t>
      </w:r>
      <w:r>
        <w:rPr>
          <w:rFonts w:hint="eastAsia" w:ascii="仿宋_GB2312" w:eastAsia="仿宋_GB2312"/>
          <w:sz w:val="32"/>
          <w:szCs w:val="32"/>
        </w:rPr>
        <w:t>辆，单价100万元（含）以上设备（不含</w:t>
      </w:r>
      <w:r>
        <w:rPr>
          <w:rFonts w:ascii="仿宋_GB2312" w:eastAsia="仿宋_GB2312"/>
          <w:sz w:val="32"/>
          <w:szCs w:val="32"/>
        </w:rPr>
        <w:t>车辆）</w:t>
      </w:r>
      <w:r>
        <w:rPr>
          <w:rFonts w:hint="eastAsia" w:ascii="仿宋_GB2312" w:eastAsia="仿宋_GB2312"/>
          <w:sz w:val="32"/>
          <w:szCs w:val="32"/>
          <w:lang w:val="en-US" w:eastAsia="zh-CN"/>
        </w:rPr>
        <w:t>0</w:t>
      </w:r>
      <w:r>
        <w:rPr>
          <w:rFonts w:hint="eastAsia" w:ascii="仿宋_GB2312" w:eastAsia="仿宋_GB2312"/>
          <w:sz w:val="32"/>
          <w:szCs w:val="32"/>
        </w:rPr>
        <w:t>台（套）。</w:t>
      </w:r>
    </w:p>
    <w:p w14:paraId="1CA7CCB4">
      <w:pPr>
        <w:widowControl/>
        <w:wordWrap/>
        <w:adjustRightInd/>
        <w:snapToGrid/>
        <w:spacing w:before="0" w:after="0" w:line="330" w:lineRule="atLeast"/>
        <w:ind w:right="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rPr>
        <w:t>七、预算绩效管理情况</w:t>
      </w:r>
    </w:p>
    <w:p w14:paraId="57A0374F">
      <w:pPr>
        <w:wordWrap/>
        <w:adjustRightInd/>
        <w:snapToGrid/>
        <w:spacing w:before="0" w:after="0"/>
        <w:ind w:left="0" w:leftChars="0" w:right="0" w:firstLine="600" w:firstLineChars="200"/>
        <w:textAlignment w:val="auto"/>
        <w:rPr>
          <w:rFonts w:hint="eastAsia" w:ascii="仿宋" w:hAnsi="仿宋" w:eastAsia="仿宋" w:cs="Verdana"/>
          <w:kern w:val="0"/>
          <w:sz w:val="30"/>
          <w:szCs w:val="30"/>
          <w:lang w:eastAsia="zh-CN"/>
        </w:rPr>
      </w:pPr>
      <w:r>
        <w:rPr>
          <w:rFonts w:hint="eastAsia" w:ascii="仿宋" w:hAnsi="仿宋" w:eastAsia="仿宋" w:cs="Verdana"/>
          <w:kern w:val="0"/>
          <w:sz w:val="30"/>
          <w:szCs w:val="30"/>
          <w:lang w:eastAsia="zh-CN"/>
        </w:rPr>
        <w:t>202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lang w:eastAsia="zh-CN"/>
        </w:rPr>
        <w:t>年</w:t>
      </w:r>
      <w:r>
        <w:rPr>
          <w:rFonts w:hint="eastAsia" w:ascii="仿宋" w:hAnsi="仿宋" w:eastAsia="仿宋" w:cs="Verdana"/>
          <w:kern w:val="0"/>
          <w:sz w:val="30"/>
          <w:szCs w:val="30"/>
        </w:rPr>
        <w:t>，按照“先有绩效，后有预算”原则，本部门共计编制绩效目标</w:t>
      </w:r>
      <w:r>
        <w:rPr>
          <w:rFonts w:hint="eastAsia" w:ascii="仿宋" w:hAnsi="仿宋" w:eastAsia="仿宋" w:cs="Verdana"/>
          <w:kern w:val="0"/>
          <w:sz w:val="30"/>
          <w:szCs w:val="30"/>
          <w:lang w:val="en-US" w:eastAsia="zh-CN"/>
        </w:rPr>
        <w:t>1</w:t>
      </w:r>
      <w:r>
        <w:rPr>
          <w:rFonts w:hint="eastAsia" w:ascii="仿宋" w:hAnsi="仿宋" w:eastAsia="仿宋" w:cs="Verdana"/>
          <w:kern w:val="0"/>
          <w:sz w:val="30"/>
          <w:szCs w:val="30"/>
        </w:rPr>
        <w:t>个，预算金额</w:t>
      </w:r>
      <w:r>
        <w:rPr>
          <w:rFonts w:hint="eastAsia" w:ascii="仿宋" w:hAnsi="仿宋" w:eastAsia="仿宋" w:cs="Verdana"/>
          <w:kern w:val="0"/>
          <w:sz w:val="30"/>
          <w:szCs w:val="30"/>
          <w:lang w:val="en-US" w:eastAsia="zh-CN"/>
        </w:rPr>
        <w:t>185</w:t>
      </w:r>
      <w:r>
        <w:rPr>
          <w:rFonts w:hint="eastAsia" w:ascii="仿宋" w:hAnsi="仿宋" w:eastAsia="仿宋" w:cs="Verdana"/>
          <w:kern w:val="0"/>
          <w:sz w:val="30"/>
          <w:szCs w:val="30"/>
          <w:lang w:eastAsia="zh-CN"/>
        </w:rPr>
        <w:t>万元</w:t>
      </w:r>
      <w:r>
        <w:rPr>
          <w:rFonts w:hint="eastAsia" w:ascii="仿宋" w:hAnsi="仿宋" w:eastAsia="仿宋" w:cs="Verdana"/>
          <w:kern w:val="0"/>
          <w:sz w:val="30"/>
          <w:szCs w:val="30"/>
        </w:rPr>
        <w:t>，占项目支出预算比重</w:t>
      </w:r>
      <w:r>
        <w:rPr>
          <w:rFonts w:hint="eastAsia" w:ascii="仿宋" w:hAnsi="仿宋" w:eastAsia="仿宋" w:cs="Verdana"/>
          <w:kern w:val="0"/>
          <w:sz w:val="30"/>
          <w:szCs w:val="30"/>
          <w:lang w:val="en-US" w:eastAsia="zh-CN"/>
        </w:rPr>
        <w:t>100</w:t>
      </w:r>
      <w:r>
        <w:rPr>
          <w:rFonts w:hint="eastAsia" w:ascii="仿宋" w:hAnsi="仿宋" w:eastAsia="仿宋" w:cs="Verdana"/>
          <w:kern w:val="0"/>
          <w:sz w:val="30"/>
          <w:szCs w:val="30"/>
        </w:rPr>
        <w:t>%。保证38名劳务派遣人员全面完成年度工作任务</w:t>
      </w:r>
      <w:r>
        <w:rPr>
          <w:rFonts w:hint="eastAsia" w:ascii="仿宋" w:hAnsi="仿宋" w:eastAsia="仿宋" w:cs="Verdana"/>
          <w:kern w:val="0"/>
          <w:sz w:val="30"/>
          <w:szCs w:val="30"/>
          <w:lang w:eastAsia="zh-CN"/>
        </w:rPr>
        <w:t>。</w:t>
      </w:r>
    </w:p>
    <w:p w14:paraId="6BB110D0">
      <w:pPr>
        <w:wordWrap/>
        <w:adjustRightInd/>
        <w:snapToGrid/>
        <w:spacing w:before="0" w:after="0"/>
        <w:ind w:right="0"/>
        <w:textAlignment w:val="auto"/>
        <w:rPr>
          <w:rFonts w:hint="eastAsia" w:ascii="仿宋" w:hAnsi="仿宋" w:eastAsia="仿宋" w:cs="Verdana"/>
          <w:kern w:val="0"/>
          <w:sz w:val="30"/>
          <w:szCs w:val="30"/>
        </w:rPr>
      </w:pPr>
      <w:r>
        <w:rPr>
          <w:rFonts w:hint="eastAsia" w:ascii="仿宋" w:hAnsi="仿宋" w:eastAsia="仿宋" w:cs="Verdana"/>
          <w:kern w:val="0"/>
          <w:sz w:val="30"/>
          <w:szCs w:val="30"/>
          <w:lang w:val="en-US" w:eastAsia="zh-CN"/>
        </w:rPr>
        <w:t xml:space="preserve">    </w:t>
      </w:r>
      <w:r>
        <w:rPr>
          <w:rFonts w:hint="eastAsia" w:ascii="仿宋" w:hAnsi="仿宋" w:eastAsia="仿宋" w:cs="Verdana"/>
          <w:kern w:val="0"/>
          <w:sz w:val="30"/>
          <w:szCs w:val="30"/>
        </w:rPr>
        <w:t>八、</w:t>
      </w:r>
      <w:r>
        <w:rPr>
          <w:rFonts w:hint="eastAsia" w:ascii="仿宋" w:hAnsi="仿宋" w:eastAsia="仿宋" w:cs="Verdana"/>
          <w:kern w:val="0"/>
          <w:sz w:val="30"/>
          <w:szCs w:val="30"/>
          <w:lang w:eastAsia="zh-CN"/>
        </w:rPr>
        <w:t>市场中心劳务派遣人员经费</w:t>
      </w:r>
      <w:r>
        <w:rPr>
          <w:rFonts w:hint="eastAsia" w:ascii="仿宋" w:hAnsi="仿宋" w:eastAsia="仿宋" w:cs="Verdana"/>
          <w:kern w:val="0"/>
          <w:sz w:val="30"/>
          <w:szCs w:val="30"/>
        </w:rPr>
        <w:t>项目</w:t>
      </w:r>
    </w:p>
    <w:p w14:paraId="68DBCDBB">
      <w:pPr>
        <w:wordWrap/>
        <w:adjustRightInd/>
        <w:snapToGrid/>
        <w:spacing w:before="0" w:after="0"/>
        <w:ind w:left="0" w:leftChars="0" w:right="0" w:firstLine="600" w:firstLineChars="200"/>
        <w:textAlignment w:val="auto"/>
        <w:rPr>
          <w:rFonts w:hint="eastAsia" w:ascii="仿宋" w:hAnsi="仿宋" w:eastAsia="仿宋" w:cs="Verdana"/>
          <w:kern w:val="0"/>
          <w:sz w:val="30"/>
          <w:szCs w:val="30"/>
        </w:rPr>
      </w:pPr>
      <w:r>
        <w:rPr>
          <w:rFonts w:hint="eastAsia" w:ascii="仿宋" w:hAnsi="仿宋" w:eastAsia="仿宋" w:cs="Verdana"/>
          <w:kern w:val="0"/>
          <w:sz w:val="30"/>
          <w:szCs w:val="30"/>
        </w:rPr>
        <w:t>1.项目概述</w:t>
      </w:r>
    </w:p>
    <w:p w14:paraId="2139B381">
      <w:pPr>
        <w:wordWrap/>
        <w:adjustRightInd/>
        <w:snapToGrid/>
        <w:spacing w:before="0" w:after="0"/>
        <w:ind w:left="0" w:leftChars="0" w:right="0" w:firstLine="600" w:firstLineChars="200"/>
        <w:textAlignment w:val="auto"/>
        <w:rPr>
          <w:rFonts w:hint="eastAsia" w:ascii="仿宋" w:hAnsi="仿宋" w:eastAsia="仿宋" w:cs="Verdana"/>
          <w:kern w:val="0"/>
          <w:sz w:val="30"/>
          <w:szCs w:val="30"/>
        </w:rPr>
      </w:pPr>
      <w:r>
        <w:rPr>
          <w:rFonts w:hint="eastAsia" w:ascii="仿宋" w:hAnsi="仿宋" w:eastAsia="仿宋" w:cs="Verdana"/>
          <w:kern w:val="0"/>
          <w:sz w:val="30"/>
          <w:szCs w:val="30"/>
        </w:rPr>
        <w:t>以劳务派遣公司委派专业技能人员进驻的方式来提高行政效率，降低行政成本，弥补缺失岗位，完成部门年度既定工作目标。</w:t>
      </w:r>
    </w:p>
    <w:p w14:paraId="6E10BEA6">
      <w:pPr>
        <w:wordWrap/>
        <w:adjustRightInd/>
        <w:snapToGrid/>
        <w:spacing w:before="0" w:after="0"/>
        <w:ind w:left="0" w:leftChars="0" w:right="0" w:firstLine="600" w:firstLineChars="200"/>
        <w:textAlignment w:val="auto"/>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53A32C15">
      <w:pPr>
        <w:pStyle w:val="3"/>
        <w:widowControl w:val="0"/>
        <w:wordWrap/>
        <w:adjustRightInd/>
        <w:snapToGrid/>
        <w:spacing w:before="0" w:after="0" w:line="560" w:lineRule="exact"/>
        <w:ind w:left="0" w:leftChars="0" w:right="0" w:firstLine="600" w:firstLineChars="200"/>
        <w:textAlignment w:val="auto"/>
        <w:outlineLvl w:val="9"/>
        <w:rPr>
          <w:rFonts w:hint="eastAsia" w:ascii="仿宋" w:hAnsi="仿宋" w:eastAsia="仿宋" w:cs="仿宋_GB2312"/>
          <w:color w:val="333333"/>
          <w:sz w:val="30"/>
          <w:szCs w:val="30"/>
          <w:lang w:val="en-US" w:eastAsia="zh-CN"/>
        </w:rPr>
      </w:pPr>
      <w:r>
        <w:rPr>
          <w:rFonts w:hint="eastAsia" w:ascii="仿宋" w:hAnsi="仿宋" w:eastAsia="仿宋" w:cs="仿宋_GB2312"/>
          <w:color w:val="333333"/>
          <w:sz w:val="30"/>
          <w:szCs w:val="30"/>
          <w:lang w:eastAsia="zh-CN"/>
        </w:rPr>
        <w:t>根据单位三定方案及工作职能，集合</w:t>
      </w:r>
      <w:r>
        <w:rPr>
          <w:rFonts w:hint="eastAsia" w:ascii="仿宋" w:hAnsi="仿宋" w:eastAsia="仿宋" w:cs="仿宋_GB2312"/>
          <w:color w:val="333333"/>
          <w:sz w:val="30"/>
          <w:szCs w:val="30"/>
          <w:lang w:val="en-US" w:eastAsia="zh-CN"/>
        </w:rPr>
        <w:t>《辽宁省食品安全工作基本标准》、《大连市食品安全协管员管理办法（修订）》、《市场监督管理所条例（征求意见稿）》。</w:t>
      </w:r>
    </w:p>
    <w:p w14:paraId="7BB1EE45">
      <w:pPr>
        <w:wordWrap/>
        <w:adjustRightInd/>
        <w:snapToGrid/>
        <w:spacing w:before="0" w:after="0"/>
        <w:ind w:left="0" w:leftChars="0" w:right="0" w:firstLine="600" w:firstLineChars="200"/>
        <w:textAlignment w:val="auto"/>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19EF6967">
      <w:pPr>
        <w:wordWrap/>
        <w:adjustRightInd/>
        <w:snapToGrid/>
        <w:spacing w:before="0" w:after="0"/>
        <w:ind w:left="0" w:leftChars="0" w:right="0" w:firstLine="600" w:firstLineChars="200"/>
        <w:textAlignment w:val="auto"/>
        <w:outlineLvl w:val="0"/>
        <w:rPr>
          <w:rFonts w:hint="eastAsia" w:ascii="仿宋" w:hAnsi="仿宋" w:eastAsia="仿宋" w:cs="仿宋_GB2312"/>
          <w:color w:val="333333"/>
          <w:sz w:val="30"/>
          <w:szCs w:val="30"/>
          <w:lang w:eastAsia="zh-CN"/>
        </w:rPr>
      </w:pPr>
      <w:r>
        <w:rPr>
          <w:rFonts w:hint="eastAsia" w:ascii="仿宋" w:hAnsi="仿宋" w:eastAsia="仿宋" w:cs="仿宋_GB2312"/>
          <w:color w:val="333333"/>
          <w:sz w:val="30"/>
          <w:szCs w:val="30"/>
          <w:lang w:eastAsia="zh-CN"/>
        </w:rPr>
        <w:t>实施单位为：大连高新技术产业园区市场监管事务服务中心</w:t>
      </w:r>
    </w:p>
    <w:p w14:paraId="33D6528B">
      <w:pPr>
        <w:wordWrap/>
        <w:adjustRightInd/>
        <w:snapToGrid/>
        <w:spacing w:before="0" w:after="0"/>
        <w:ind w:left="0" w:leftChars="0" w:right="0" w:firstLine="600" w:firstLineChars="200"/>
        <w:textAlignment w:val="auto"/>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2F6FC516">
      <w:pPr>
        <w:wordWrap/>
        <w:adjustRightInd/>
        <w:snapToGrid/>
        <w:spacing w:before="0" w:after="0"/>
        <w:ind w:left="0" w:leftChars="0" w:right="0" w:firstLine="600" w:firstLineChars="200"/>
        <w:textAlignment w:val="auto"/>
        <w:rPr>
          <w:rFonts w:hint="eastAsia" w:ascii="仿宋" w:hAnsi="仿宋" w:eastAsia="仿宋" w:cs="Verdana"/>
          <w:kern w:val="0"/>
          <w:sz w:val="30"/>
          <w:szCs w:val="30"/>
        </w:rPr>
      </w:pPr>
      <w:r>
        <w:rPr>
          <w:rFonts w:hint="eastAsia" w:ascii="仿宋" w:hAnsi="仿宋" w:eastAsia="仿宋" w:cs="Verdana"/>
          <w:kern w:val="0"/>
          <w:sz w:val="30"/>
          <w:szCs w:val="30"/>
        </w:rPr>
        <w:t>按岗位需求派驻的劳务派遣人数</w:t>
      </w:r>
      <w:r>
        <w:rPr>
          <w:rFonts w:hint="eastAsia" w:ascii="仿宋" w:hAnsi="仿宋" w:eastAsia="仿宋" w:cs="Verdana"/>
          <w:kern w:val="0"/>
          <w:sz w:val="30"/>
          <w:szCs w:val="30"/>
          <w:lang w:eastAsia="zh-CN"/>
        </w:rPr>
        <w:t>≥38人；劳务派遣人员与岗位需求契合度≥95%；劳务派遣人员本科及以上学历比例≥95%。</w:t>
      </w:r>
    </w:p>
    <w:p w14:paraId="2DDA65ED">
      <w:pPr>
        <w:wordWrap/>
        <w:adjustRightInd/>
        <w:snapToGrid/>
        <w:spacing w:before="0" w:after="0"/>
        <w:ind w:left="0" w:leftChars="0" w:right="0" w:firstLine="600" w:firstLineChars="200"/>
        <w:textAlignment w:val="auto"/>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24F81801">
      <w:pPr>
        <w:wordWrap/>
        <w:adjustRightInd/>
        <w:snapToGrid/>
        <w:spacing w:before="0" w:after="0"/>
        <w:ind w:left="0" w:leftChars="0" w:right="0" w:firstLine="600" w:firstLineChars="200"/>
        <w:textAlignment w:val="auto"/>
        <w:rPr>
          <w:rFonts w:hint="eastAsia" w:ascii="仿宋" w:hAnsi="仿宋" w:eastAsia="仿宋" w:cs="仿宋_GB2312"/>
          <w:color w:val="000000"/>
          <w:kern w:val="0"/>
          <w:sz w:val="30"/>
          <w:szCs w:val="30"/>
        </w:rPr>
      </w:pPr>
      <w:r>
        <w:rPr>
          <w:rFonts w:hint="eastAsia"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年1月至202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年12月</w:t>
      </w:r>
    </w:p>
    <w:p w14:paraId="177721E9">
      <w:pPr>
        <w:wordWrap/>
        <w:adjustRightInd/>
        <w:snapToGrid/>
        <w:spacing w:before="0" w:after="0"/>
        <w:ind w:left="0" w:leftChars="0" w:right="0" w:firstLine="600" w:firstLineChars="200"/>
        <w:textAlignment w:val="auto"/>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CF32D45">
      <w:pPr>
        <w:widowControl/>
        <w:wordWrap/>
        <w:adjustRightInd/>
        <w:snapToGrid/>
        <w:spacing w:before="0" w:after="0" w:line="330" w:lineRule="atLeast"/>
        <w:ind w:left="0" w:leftChars="0" w:right="0"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_GB2312"/>
          <w:color w:val="000000"/>
          <w:kern w:val="0"/>
          <w:sz w:val="30"/>
          <w:szCs w:val="30"/>
        </w:rPr>
        <w:t>实施期金额</w:t>
      </w:r>
      <w:r>
        <w:rPr>
          <w:rFonts w:hint="eastAsia" w:ascii="仿宋" w:hAnsi="仿宋" w:eastAsia="仿宋" w:cs="仿宋_GB2312"/>
          <w:color w:val="000000"/>
          <w:kern w:val="0"/>
          <w:sz w:val="30"/>
          <w:szCs w:val="30"/>
          <w:lang w:eastAsia="zh-CN"/>
        </w:rPr>
        <w:t>：</w:t>
      </w:r>
      <w:r>
        <w:rPr>
          <w:rFonts w:hint="eastAsia" w:ascii="仿宋" w:hAnsi="仿宋" w:eastAsia="仿宋" w:cs="仿宋_GB2312"/>
          <w:color w:val="000000"/>
          <w:kern w:val="0"/>
          <w:sz w:val="30"/>
          <w:szCs w:val="30"/>
          <w:lang w:val="en-US" w:eastAsia="zh-CN"/>
        </w:rPr>
        <w:t>185</w:t>
      </w:r>
      <w:r>
        <w:rPr>
          <w:rFonts w:hint="eastAsia" w:ascii="仿宋" w:hAnsi="仿宋" w:eastAsia="仿宋" w:cs="仿宋_GB2312"/>
          <w:color w:val="000000"/>
          <w:kern w:val="0"/>
          <w:sz w:val="30"/>
          <w:szCs w:val="30"/>
          <w:lang w:eastAsia="zh-CN"/>
        </w:rPr>
        <w:t>万元</w:t>
      </w:r>
    </w:p>
    <w:p w14:paraId="7DB9475B">
      <w:pPr>
        <w:widowControl/>
        <w:wordWrap/>
        <w:adjustRightInd/>
        <w:snapToGrid/>
        <w:spacing w:before="0" w:after="0" w:line="330" w:lineRule="atLeast"/>
        <w:ind w:left="0" w:leftChars="0" w:right="0"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735ACEA7">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财政拨款收入</w:t>
      </w:r>
      <w:r>
        <w:rPr>
          <w:rFonts w:hint="eastAsia" w:ascii="仿宋" w:hAnsi="仿宋" w:eastAsia="仿宋" w:cs="仿宋_GB2312"/>
          <w:bCs/>
          <w:color w:val="000000"/>
          <w:kern w:val="0"/>
          <w:sz w:val="30"/>
          <w:szCs w:val="30"/>
        </w:rPr>
        <w:t>：指单位本年度从本级财政部门取得的财政拨款，包括一般公共预算财政拨款和政府性基金预算财政拨款。</w:t>
      </w:r>
    </w:p>
    <w:p w14:paraId="470401D7">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二、</w:t>
      </w:r>
      <w:r>
        <w:rPr>
          <w:rFonts w:hint="eastAsia" w:ascii="仿宋" w:hAnsi="仿宋" w:eastAsia="仿宋" w:cs="仿宋_GB2312"/>
          <w:bCs/>
          <w:color w:val="000000"/>
          <w:kern w:val="0"/>
          <w:sz w:val="30"/>
          <w:szCs w:val="30"/>
        </w:rPr>
        <w:t>上级补助收入：指单位从主管部门和上级单位取得的非财政性补助收入。</w:t>
      </w:r>
    </w:p>
    <w:p w14:paraId="4E9D456A">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三</w:t>
      </w:r>
      <w:r>
        <w:rPr>
          <w:rFonts w:hint="eastAsia" w:ascii="仿宋" w:hAnsi="仿宋" w:eastAsia="仿宋" w:cs="仿宋_GB2312"/>
          <w:bCs/>
          <w:color w:val="000000"/>
          <w:kern w:val="0"/>
          <w:sz w:val="30"/>
          <w:szCs w:val="30"/>
        </w:rPr>
        <w:t>、事业收入：指事业单位开展专业业务活动及其辅助活动取得的收入。</w:t>
      </w:r>
    </w:p>
    <w:p w14:paraId="6BB954A8">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四</w:t>
      </w:r>
      <w:r>
        <w:rPr>
          <w:rFonts w:hint="eastAsia" w:ascii="仿宋" w:hAnsi="仿宋" w:eastAsia="仿宋" w:cs="仿宋_GB2312"/>
          <w:bCs/>
          <w:color w:val="000000"/>
          <w:kern w:val="0"/>
          <w:sz w:val="30"/>
          <w:szCs w:val="30"/>
        </w:rPr>
        <w:t>、经营收入：指事业单位在专业业务活动及其辅助活动之外开展非独立核算经营活动取得的收入。</w:t>
      </w:r>
    </w:p>
    <w:p w14:paraId="1D3A2499">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五</w:t>
      </w:r>
      <w:r>
        <w:rPr>
          <w:rFonts w:hint="eastAsia" w:ascii="仿宋" w:hAnsi="仿宋" w:eastAsia="仿宋" w:cs="仿宋_GB2312"/>
          <w:bCs/>
          <w:color w:val="000000"/>
          <w:kern w:val="0"/>
          <w:sz w:val="30"/>
          <w:szCs w:val="30"/>
        </w:rPr>
        <w:t>、附属单位上缴收入：指单位附属的独立核算单位按照规定上缴的收入。</w:t>
      </w:r>
    </w:p>
    <w:p w14:paraId="0D311DD7">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六</w:t>
      </w:r>
      <w:r>
        <w:rPr>
          <w:rFonts w:hint="eastAsia" w:ascii="仿宋" w:hAnsi="仿宋" w:eastAsia="仿宋" w:cs="仿宋_GB2312"/>
          <w:bCs/>
          <w:color w:val="000000"/>
          <w:kern w:val="0"/>
          <w:sz w:val="30"/>
          <w:szCs w:val="30"/>
        </w:rPr>
        <w:t>、其他收入：指单位取得的除“财政拨款收入”、“事业收入”、“经营收入”等以外的收入。</w:t>
      </w:r>
    </w:p>
    <w:p w14:paraId="3CB40EA7">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七</w:t>
      </w:r>
      <w:r>
        <w:rPr>
          <w:rFonts w:hint="eastAsia" w:ascii="仿宋" w:hAnsi="仿宋" w:eastAsia="仿宋" w:cs="仿宋_GB2312"/>
          <w:bCs/>
          <w:color w:val="000000"/>
          <w:kern w:val="0"/>
          <w:sz w:val="30"/>
          <w:szCs w:val="30"/>
        </w:rPr>
        <w:t>、使用非财政拨款结余：指事业单位按照预算管理要求使用非财政拨款结余弥补收支差额的金额。</w:t>
      </w:r>
    </w:p>
    <w:p w14:paraId="536D5DC4">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八</w:t>
      </w:r>
      <w:r>
        <w:rPr>
          <w:rFonts w:hint="eastAsia" w:ascii="仿宋" w:hAnsi="仿宋" w:eastAsia="仿宋" w:cs="仿宋_GB2312"/>
          <w:bCs/>
          <w:color w:val="000000"/>
          <w:kern w:val="0"/>
          <w:sz w:val="30"/>
          <w:szCs w:val="30"/>
        </w:rPr>
        <w:t>、年初结转和结余：指以前年度尚未完成、结转到本年按有关规定继续使用的资金。</w:t>
      </w:r>
    </w:p>
    <w:p w14:paraId="36C3CA6E">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九</w:t>
      </w:r>
      <w:r>
        <w:rPr>
          <w:rFonts w:hint="eastAsia" w:ascii="仿宋" w:hAnsi="仿宋" w:eastAsia="仿宋" w:cs="仿宋_GB2312"/>
          <w:bCs/>
          <w:color w:val="000000"/>
          <w:kern w:val="0"/>
          <w:sz w:val="30"/>
          <w:szCs w:val="30"/>
        </w:rPr>
        <w:t>、结余分配：指事业单位按照会计制度规定缴纳的所得税、提取的专用结余以及转入非财政拨款结余的金额等。</w:t>
      </w:r>
    </w:p>
    <w:p w14:paraId="3B327ECA">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十</w:t>
      </w:r>
      <w:r>
        <w:rPr>
          <w:rFonts w:hint="eastAsia" w:ascii="仿宋" w:hAnsi="仿宋" w:eastAsia="仿宋" w:cs="仿宋_GB2312"/>
          <w:bCs/>
          <w:color w:val="000000"/>
          <w:kern w:val="0"/>
          <w:sz w:val="30"/>
          <w:szCs w:val="30"/>
        </w:rPr>
        <w:t>、年末结转和结余：指本年度或以前年度预算安排、因客观条件发生变化无法按原计划实施，需延迟到以后年度按有关规定继续使用的资金。</w:t>
      </w:r>
    </w:p>
    <w:p w14:paraId="203321A2">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一</w:t>
      </w:r>
      <w:r>
        <w:rPr>
          <w:rFonts w:hint="eastAsia" w:ascii="仿宋" w:hAnsi="仿宋" w:eastAsia="仿宋" w:cs="仿宋_GB2312"/>
          <w:bCs/>
          <w:color w:val="000000"/>
          <w:kern w:val="0"/>
          <w:sz w:val="30"/>
          <w:szCs w:val="30"/>
        </w:rPr>
        <w:t>、基本支出：指单位为保障机构正常运转、完成日常工作任务而发生的各项支出。</w:t>
      </w:r>
    </w:p>
    <w:p w14:paraId="63B08967">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二</w:t>
      </w:r>
      <w:r>
        <w:rPr>
          <w:rFonts w:hint="eastAsia" w:ascii="仿宋" w:hAnsi="仿宋" w:eastAsia="仿宋" w:cs="仿宋_GB2312"/>
          <w:bCs/>
          <w:color w:val="000000"/>
          <w:kern w:val="0"/>
          <w:sz w:val="30"/>
          <w:szCs w:val="30"/>
        </w:rPr>
        <w:t>、项目支出：指单位为完成特定的行政工作任务或事业发展目标，在基本支出之外发生的各项支出。</w:t>
      </w:r>
    </w:p>
    <w:p w14:paraId="6B15EC4E">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三</w:t>
      </w:r>
      <w:r>
        <w:rPr>
          <w:rFonts w:hint="eastAsia" w:ascii="仿宋" w:hAnsi="仿宋" w:eastAsia="仿宋" w:cs="仿宋_GB2312"/>
          <w:bCs/>
          <w:color w:val="000000"/>
          <w:kern w:val="0"/>
          <w:sz w:val="30"/>
          <w:szCs w:val="30"/>
        </w:rPr>
        <w:t>、经营支出：指事业单位在专业活动及辅助活动之外开展非独立核算经营活动发生的支出。</w:t>
      </w:r>
    </w:p>
    <w:p w14:paraId="74AC9F02">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四</w:t>
      </w:r>
      <w:r>
        <w:rPr>
          <w:rFonts w:hint="eastAsia" w:ascii="仿宋" w:hAnsi="仿宋" w:eastAsia="仿宋" w:cs="仿宋_GB2312"/>
          <w:bCs/>
          <w:color w:val="000000"/>
          <w:kern w:val="0"/>
          <w:sz w:val="30"/>
          <w:szCs w:val="30"/>
        </w:rPr>
        <w:t>、“三公”经费：指</w:t>
      </w:r>
      <w:r>
        <w:rPr>
          <w:rFonts w:hint="eastAsia" w:ascii="仿宋" w:hAnsi="仿宋" w:eastAsia="仿宋" w:cs="仿宋_GB2312"/>
          <w:bCs/>
          <w:color w:val="000000"/>
          <w:kern w:val="0"/>
          <w:sz w:val="30"/>
          <w:szCs w:val="30"/>
          <w:lang w:eastAsia="zh-CN"/>
        </w:rPr>
        <w:t>部门</w:t>
      </w:r>
      <w:r>
        <w:rPr>
          <w:rFonts w:hint="eastAsia" w:ascii="仿宋" w:hAnsi="仿宋" w:eastAsia="仿宋" w:cs="仿宋_GB2312"/>
          <w:bCs/>
          <w:color w:val="000000"/>
          <w:kern w:val="0"/>
          <w:sz w:val="30"/>
          <w:szCs w:val="30"/>
        </w:rPr>
        <w:t>使用一般公共预算</w:t>
      </w:r>
      <w:r>
        <w:rPr>
          <w:rFonts w:hint="eastAsia" w:ascii="仿宋" w:hAnsi="仿宋" w:eastAsia="仿宋" w:cs="仿宋_GB2312"/>
          <w:bCs/>
          <w:color w:val="000000"/>
          <w:kern w:val="0"/>
          <w:sz w:val="30"/>
          <w:szCs w:val="30"/>
          <w:lang w:eastAsia="zh-CN"/>
        </w:rPr>
        <w:t>、政府性基金预算和国有资本经营预算</w:t>
      </w:r>
      <w:r>
        <w:rPr>
          <w:rFonts w:hint="eastAsia" w:ascii="仿宋" w:hAnsi="仿宋" w:eastAsia="仿宋" w:cs="仿宋_GB2312"/>
          <w:bCs/>
          <w:color w:val="000000"/>
          <w:kern w:val="0"/>
          <w:sz w:val="30"/>
          <w:szCs w:val="30"/>
        </w:rPr>
        <w:t>财政拨款安排的因公出国（境）费、公务用车购置及运行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p>
    <w:p w14:paraId="52BE632E">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五</w:t>
      </w:r>
      <w:r>
        <w:rPr>
          <w:rFonts w:hint="eastAsia" w:ascii="仿宋" w:hAnsi="仿宋" w:eastAsia="仿宋" w:cs="仿宋_GB2312"/>
          <w:bCs/>
          <w:color w:val="000000"/>
          <w:kern w:val="0"/>
          <w:sz w:val="30"/>
          <w:szCs w:val="30"/>
        </w:rPr>
        <w:t>、一般公共服务支出（类）政府办公厅（室）及相关机构事务（款）事业运行（项）： 反映事业单位的基本支出，不包括行政单位（包括实行公务员管理的事业单位）后勤服务中心、医务室等附属事业单位。</w:t>
      </w:r>
    </w:p>
    <w:p w14:paraId="46BE149F">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六</w:t>
      </w:r>
      <w:r>
        <w:rPr>
          <w:rFonts w:hint="eastAsia" w:ascii="仿宋" w:hAnsi="仿宋" w:eastAsia="仿宋" w:cs="仿宋_GB2312"/>
          <w:bCs/>
          <w:color w:val="000000"/>
          <w:kern w:val="0"/>
          <w:sz w:val="30"/>
          <w:szCs w:val="30"/>
        </w:rPr>
        <w:t>、社会保障和就业支出（类）行政事业单位养老支出（款）事业单位离退休（项）：</w:t>
      </w:r>
      <w:r>
        <w:rPr>
          <w:rFonts w:hint="eastAsia" w:ascii="仿宋" w:hAnsi="仿宋" w:eastAsia="仿宋" w:cs="仿宋_GB2312"/>
          <w:bCs/>
          <w:color w:val="000000"/>
          <w:kern w:val="0"/>
          <w:sz w:val="30"/>
          <w:szCs w:val="30"/>
          <w:lang w:eastAsia="zh-CN"/>
        </w:rPr>
        <w:t>反映事业单位开支的离退休经费</w:t>
      </w:r>
      <w:r>
        <w:rPr>
          <w:rFonts w:hint="eastAsia" w:ascii="仿宋" w:hAnsi="仿宋" w:eastAsia="仿宋" w:cs="仿宋_GB2312"/>
          <w:bCs/>
          <w:color w:val="000000"/>
          <w:kern w:val="0"/>
          <w:sz w:val="30"/>
          <w:szCs w:val="30"/>
        </w:rPr>
        <w:t>。</w:t>
      </w:r>
    </w:p>
    <w:p w14:paraId="605C3D26">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七</w:t>
      </w:r>
      <w:r>
        <w:rPr>
          <w:rFonts w:hint="eastAsia" w:ascii="仿宋" w:hAnsi="仿宋" w:eastAsia="仿宋" w:cs="仿宋_GB2312"/>
          <w:bCs/>
          <w:color w:val="000000"/>
          <w:kern w:val="0"/>
          <w:sz w:val="30"/>
          <w:szCs w:val="30"/>
        </w:rPr>
        <w:t>、社会保障和就业支出（类）行政事业单位养老支出（款）机关事业单位基本养老保险缴费支出（项）：反映机关事业单位实施养老保险制度由单位缴纳的基本养老保险费支出。</w:t>
      </w:r>
    </w:p>
    <w:p w14:paraId="2C496F2C">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十八</w:t>
      </w:r>
      <w:r>
        <w:rPr>
          <w:rFonts w:hint="eastAsia" w:ascii="仿宋" w:hAnsi="仿宋" w:eastAsia="仿宋" w:cs="仿宋_GB2312"/>
          <w:bCs/>
          <w:color w:val="000000"/>
          <w:kern w:val="0"/>
          <w:sz w:val="30"/>
          <w:szCs w:val="30"/>
        </w:rPr>
        <w:t>、社会保障和就业支出（类）行政事业单位养老支出（款）机关事业单位职业年金缴费支出（项）：反映机关事业单位</w:t>
      </w:r>
      <w:r>
        <w:rPr>
          <w:rFonts w:hint="eastAsia" w:ascii="仿宋" w:hAnsi="仿宋" w:eastAsia="仿宋" w:cs="仿宋_GB2312"/>
          <w:bCs/>
          <w:color w:val="000000"/>
          <w:kern w:val="0"/>
          <w:sz w:val="30"/>
          <w:szCs w:val="30"/>
          <w:lang w:eastAsia="zh-CN"/>
        </w:rPr>
        <w:t>实施养老保险制度由单位实际缴纳的职业年金</w:t>
      </w:r>
      <w:r>
        <w:rPr>
          <w:rFonts w:hint="eastAsia" w:ascii="仿宋" w:hAnsi="仿宋" w:eastAsia="仿宋" w:cs="仿宋_GB2312"/>
          <w:bCs/>
          <w:color w:val="000000"/>
          <w:kern w:val="0"/>
          <w:sz w:val="30"/>
          <w:szCs w:val="30"/>
        </w:rPr>
        <w:t>支出。</w:t>
      </w:r>
    </w:p>
    <w:p w14:paraId="3F08A617">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十九</w:t>
      </w:r>
      <w:r>
        <w:rPr>
          <w:rFonts w:hint="eastAsia" w:ascii="仿宋" w:hAnsi="仿宋" w:eastAsia="仿宋" w:cs="仿宋_GB2312"/>
          <w:bCs/>
          <w:color w:val="000000"/>
          <w:kern w:val="0"/>
          <w:sz w:val="30"/>
          <w:szCs w:val="30"/>
        </w:rPr>
        <w:t>、卫生健康支出（类）行政事业单位医疗（款）事业单位医疗（项）： 反映财政部门安排的事业单位基本医疗保险缴费经费，未参加医疗保险的事业单位的公费医疗经费，按国家规定享受离休人员待遇的医疗经费。</w:t>
      </w:r>
    </w:p>
    <w:p w14:paraId="18BB3A61">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二</w:t>
      </w:r>
      <w:r>
        <w:rPr>
          <w:rFonts w:hint="eastAsia" w:ascii="仿宋" w:hAnsi="仿宋" w:eastAsia="仿宋" w:cs="仿宋_GB2312"/>
          <w:bCs/>
          <w:color w:val="000000"/>
          <w:kern w:val="0"/>
          <w:sz w:val="30"/>
          <w:szCs w:val="30"/>
        </w:rPr>
        <w:t>十、卫生健康支出（类）行政事业单位医疗（款）</w:t>
      </w:r>
      <w:r>
        <w:rPr>
          <w:rFonts w:hint="eastAsia" w:ascii="仿宋" w:hAnsi="仿宋" w:eastAsia="仿宋" w:cs="仿宋_GB2312"/>
          <w:bCs/>
          <w:color w:val="000000"/>
          <w:kern w:val="0"/>
          <w:sz w:val="30"/>
          <w:szCs w:val="30"/>
          <w:lang w:eastAsia="zh-CN"/>
        </w:rPr>
        <w:t>公务员</w:t>
      </w:r>
      <w:r>
        <w:rPr>
          <w:rFonts w:hint="eastAsia" w:ascii="仿宋" w:hAnsi="仿宋" w:eastAsia="仿宋" w:cs="仿宋_GB2312"/>
          <w:bCs/>
          <w:color w:val="000000"/>
          <w:kern w:val="0"/>
          <w:sz w:val="30"/>
          <w:szCs w:val="30"/>
        </w:rPr>
        <w:t>医疗</w:t>
      </w:r>
      <w:r>
        <w:rPr>
          <w:rFonts w:hint="eastAsia" w:ascii="仿宋" w:hAnsi="仿宋" w:eastAsia="仿宋" w:cs="仿宋_GB2312"/>
          <w:bCs/>
          <w:color w:val="000000"/>
          <w:kern w:val="0"/>
          <w:sz w:val="30"/>
          <w:szCs w:val="30"/>
          <w:lang w:eastAsia="zh-CN"/>
        </w:rPr>
        <w:t>补助</w:t>
      </w:r>
      <w:r>
        <w:rPr>
          <w:rFonts w:hint="eastAsia" w:ascii="仿宋" w:hAnsi="仿宋" w:eastAsia="仿宋" w:cs="仿宋_GB2312"/>
          <w:bCs/>
          <w:color w:val="000000"/>
          <w:kern w:val="0"/>
          <w:sz w:val="30"/>
          <w:szCs w:val="30"/>
        </w:rPr>
        <w:t>（项）： 反映财政部门安排的</w:t>
      </w:r>
      <w:r>
        <w:rPr>
          <w:rFonts w:hint="eastAsia" w:ascii="仿宋" w:hAnsi="仿宋" w:eastAsia="仿宋" w:cs="仿宋_GB2312"/>
          <w:bCs/>
          <w:color w:val="000000"/>
          <w:kern w:val="0"/>
          <w:sz w:val="30"/>
          <w:szCs w:val="30"/>
          <w:lang w:eastAsia="zh-CN"/>
        </w:rPr>
        <w:t>公务员医疗补助经费</w:t>
      </w:r>
      <w:r>
        <w:rPr>
          <w:rFonts w:hint="eastAsia" w:ascii="仿宋" w:hAnsi="仿宋" w:eastAsia="仿宋" w:cs="仿宋_GB2312"/>
          <w:bCs/>
          <w:color w:val="000000"/>
          <w:kern w:val="0"/>
          <w:sz w:val="30"/>
          <w:szCs w:val="30"/>
        </w:rPr>
        <w:t>。</w:t>
      </w:r>
    </w:p>
    <w:p w14:paraId="3C9ECDA6">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二</w:t>
      </w: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一</w:t>
      </w:r>
      <w:r>
        <w:rPr>
          <w:rFonts w:hint="eastAsia" w:ascii="仿宋" w:hAnsi="仿宋" w:eastAsia="仿宋" w:cs="仿宋_GB2312"/>
          <w:bCs/>
          <w:color w:val="000000"/>
          <w:kern w:val="0"/>
          <w:sz w:val="30"/>
          <w:szCs w:val="30"/>
        </w:rPr>
        <w:t>、住房保障支出（类）住房改革支出（款）住房公积金（项）：反映行政事业单位按人力资源和社会保障部、财政部规定的基本工资和津贴补贴以及规定比例为职工缴纳的住房公积金。</w:t>
      </w:r>
    </w:p>
    <w:p w14:paraId="5C106114">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eastAsia="zh-CN"/>
        </w:rPr>
        <w:t>二</w:t>
      </w:r>
      <w:r>
        <w:rPr>
          <w:rFonts w:hint="eastAsia" w:ascii="仿宋" w:hAnsi="仿宋" w:eastAsia="仿宋" w:cs="仿宋_GB2312"/>
          <w:bCs/>
          <w:color w:val="000000"/>
          <w:kern w:val="0"/>
          <w:sz w:val="30"/>
          <w:szCs w:val="30"/>
        </w:rPr>
        <w:t>十</w:t>
      </w:r>
      <w:r>
        <w:rPr>
          <w:rFonts w:hint="eastAsia" w:ascii="仿宋" w:hAnsi="仿宋" w:eastAsia="仿宋" w:cs="仿宋_GB2312"/>
          <w:bCs/>
          <w:color w:val="000000"/>
          <w:kern w:val="0"/>
          <w:sz w:val="30"/>
          <w:szCs w:val="30"/>
          <w:lang w:eastAsia="zh-CN"/>
        </w:rPr>
        <w:t>二</w:t>
      </w:r>
      <w:r>
        <w:rPr>
          <w:rFonts w:hint="eastAsia" w:ascii="仿宋" w:hAnsi="仿宋" w:eastAsia="仿宋" w:cs="仿宋_GB2312"/>
          <w:bCs/>
          <w:color w:val="000000"/>
          <w:kern w:val="0"/>
          <w:sz w:val="30"/>
          <w:szCs w:val="30"/>
        </w:rPr>
        <w:t>、住房保障支出（类）住房改革支出（款）提租补贴（项）：</w:t>
      </w:r>
      <w:r>
        <w:rPr>
          <w:rFonts w:hint="eastAsia" w:ascii="仿宋" w:hAnsi="仿宋" w:eastAsia="仿宋" w:cs="仿宋_GB2312"/>
          <w:bCs/>
          <w:color w:val="000000"/>
          <w:kern w:val="0"/>
          <w:sz w:val="30"/>
          <w:szCs w:val="30"/>
          <w:lang w:eastAsia="zh-CN"/>
        </w:rPr>
        <w:t>反映按房改政策规定的标准，行政事业单位向职工（含离退休人员）发放的租金补贴</w:t>
      </w:r>
      <w:r>
        <w:rPr>
          <w:rFonts w:hint="eastAsia" w:ascii="仿宋" w:hAnsi="仿宋" w:eastAsia="仿宋" w:cs="仿宋_GB2312"/>
          <w:bCs/>
          <w:color w:val="000000"/>
          <w:kern w:val="0"/>
          <w:sz w:val="30"/>
          <w:szCs w:val="30"/>
        </w:rPr>
        <w:t>。</w:t>
      </w:r>
    </w:p>
    <w:p w14:paraId="6460B353">
      <w:pPr>
        <w:wordWrap/>
        <w:adjustRightInd/>
        <w:snapToGrid/>
        <w:spacing w:before="0" w:after="0"/>
        <w:ind w:left="0" w:leftChars="0" w:right="0" w:firstLine="600" w:firstLineChars="200"/>
        <w:textAlignment w:val="auto"/>
        <w:rPr>
          <w:rFonts w:hint="eastAsia" w:ascii="仿宋" w:hAnsi="仿宋" w:eastAsia="仿宋" w:cs="仿宋_GB2312"/>
          <w:bCs/>
          <w:color w:val="000000"/>
          <w:kern w:val="0"/>
          <w:sz w:val="30"/>
          <w:szCs w:val="30"/>
        </w:rPr>
      </w:pPr>
    </w:p>
    <w:p w14:paraId="57D2AAF6">
      <w:pPr>
        <w:wordWrap/>
        <w:adjustRightInd/>
        <w:snapToGrid/>
        <w:spacing w:before="0" w:after="0"/>
        <w:ind w:right="0" w:firstLine="640" w:firstLineChars="200"/>
        <w:jc w:val="righ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14:paraId="136FB07D">
      <w:pPr>
        <w:wordWrap/>
        <w:adjustRightInd/>
        <w:snapToGrid/>
        <w:spacing w:before="0" w:after="0"/>
        <w:ind w:right="0" w:firstLine="640" w:firstLineChars="200"/>
        <w:jc w:val="right"/>
        <w:textAlignment w:val="auto"/>
        <w:rPr>
          <w:rFonts w:hint="eastAsia" w:ascii="仿宋_GB2312" w:hAnsi="宋体" w:eastAsia="仿宋_GB2312"/>
          <w:sz w:val="32"/>
          <w:szCs w:val="32"/>
          <w:lang w:val="en-US" w:eastAsia="zh-CN"/>
        </w:rPr>
      </w:pPr>
    </w:p>
    <w:p w14:paraId="4AAE3477">
      <w:pPr>
        <w:wordWrap/>
        <w:adjustRightInd/>
        <w:snapToGrid/>
        <w:spacing w:before="0" w:after="0"/>
        <w:ind w:right="0" w:firstLine="640" w:firstLineChars="200"/>
        <w:jc w:val="center"/>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14:paraId="4FE7CCE3">
      <w:pPr>
        <w:wordWrap/>
        <w:adjustRightInd/>
        <w:snapToGrid/>
        <w:spacing w:before="0" w:after="0"/>
        <w:ind w:right="0" w:firstLine="640" w:firstLineChars="200"/>
        <w:jc w:val="right"/>
        <w:textAlignment w:val="auto"/>
        <w:rPr>
          <w:rFonts w:ascii="仿宋" w:hAnsi="仿宋" w:eastAsia="仿宋" w:cs="仿宋"/>
          <w:color w:val="000000"/>
          <w:kern w:val="0"/>
          <w:sz w:val="30"/>
          <w:szCs w:val="30"/>
        </w:rPr>
      </w:pPr>
      <w:r>
        <w:rPr>
          <w:rFonts w:hint="eastAsia" w:ascii="仿宋_GB2312" w:hAnsi="宋体" w:eastAsia="仿宋_GB2312"/>
          <w:sz w:val="32"/>
          <w:szCs w:val="32"/>
          <w:lang w:val="en-US" w:eastAsia="zh-CN"/>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14:paraId="6FF86082">
      <w:pPr>
        <w:widowControl/>
        <w:wordWrap/>
        <w:adjustRightInd/>
        <w:snapToGrid/>
        <w:spacing w:before="0" w:after="0" w:line="330" w:lineRule="atLeast"/>
        <w:ind w:right="0" w:firstLine="600" w:firstLineChars="200"/>
        <w:jc w:val="both"/>
        <w:textAlignment w:val="auto"/>
        <w:rPr>
          <w:rFonts w:ascii="仿宋" w:hAnsi="仿宋" w:eastAsia="仿宋" w:cs="仿宋"/>
          <w:color w:val="000000"/>
          <w:kern w:val="0"/>
          <w:sz w:val="30"/>
          <w:szCs w:val="30"/>
        </w:rPr>
      </w:pPr>
    </w:p>
    <w:p w14:paraId="7F09A6C8">
      <w:pPr>
        <w:pStyle w:val="2"/>
      </w:pPr>
    </w:p>
    <w:sectPr>
      <w:headerReference r:id="rId3" w:type="default"/>
      <w:footerReference r:id="rId4" w:type="default"/>
      <w:pgSz w:w="11906" w:h="16838" w:orient="landscape"/>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1CA3D">
    <w:pPr>
      <w:pStyle w:val="4"/>
      <w:jc w:val="center"/>
    </w:pPr>
    <w:r>
      <w:fldChar w:fldCharType="begin"/>
    </w:r>
    <w:r>
      <w:instrText xml:space="preserve"> PAGE   \* MERGEFORMAT </w:instrText>
    </w:r>
    <w:r>
      <w:fldChar w:fldCharType="separate"/>
    </w:r>
    <w:r>
      <w:t>- 3 -</w:t>
    </w:r>
    <w:r>
      <w:fldChar w:fldCharType="end"/>
    </w:r>
  </w:p>
  <w:p w14:paraId="5F24454A">
    <w:pPr>
      <w:wordWrap/>
      <w:adjustRightInd/>
      <w:snapToGrid/>
      <w:spacing w:line="560" w:lineRule="exact"/>
      <w:ind w:firstLine="645"/>
      <w:textAlignment w:val="auto"/>
      <w:rPr>
        <w:rFonts w:hint="eastAsia" w:ascii="仿宋_GB2312" w:hAnsi="宋体" w:eastAsia="仿宋_GB2312"/>
        <w:sz w:val="32"/>
        <w:szCs w:val="32"/>
        <w:highlight w:val="none"/>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11BB">
    <w:pPr>
      <w:wordWrap/>
      <w:adjustRightInd/>
      <w:snapToGrid/>
      <w:spacing w:line="560" w:lineRule="exact"/>
      <w:ind w:firstLine="645"/>
      <w:textAlignment w:val="auto"/>
      <w:rPr>
        <w:rFonts w:hint="eastAsia" w:ascii="仿宋_GB2312" w:hAnsi="宋体" w:eastAsia="仿宋_GB2312"/>
        <w:sz w:val="32"/>
        <w:szCs w:val="32"/>
        <w:highlight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AFF0845"/>
    <w:rsid w:val="715B4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0"/>
    <w:pPr>
      <w:spacing w:afterAutospacing="0"/>
    </w:pPr>
  </w:style>
  <w:style w:type="paragraph" w:styleId="3">
    <w:name w:val="Body Text First Indent"/>
    <w:basedOn w:val="2"/>
    <w:semiHidden/>
    <w:unhideWhenUsed/>
    <w:qFormat/>
    <w:uiPriority w:val="0"/>
    <w:pPr>
      <w:ind w:firstLine="640" w:firstLineChars="200"/>
    </w:p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页眉 Char"/>
    <w:link w:val="5"/>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4122</Words>
  <Characters>4209</Characters>
  <Lines>4</Lines>
  <Paragraphs>1</Paragraphs>
  <TotalTime>4</TotalTime>
  <ScaleCrop>false</ScaleCrop>
  <LinksUpToDate>false</LinksUpToDate>
  <CharactersWithSpaces>4479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2025-12-25T07:08:04Z</dcterms:modified>
  <dc:title>大连高新技术产业园区市场监管事务服务中心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