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9EFDB">
      <w:pPr>
        <w:spacing w:line="600" w:lineRule="exact"/>
        <w:rPr>
          <w:rFonts w:ascii="仿宋_GB2312" w:eastAsia="仿宋_GB2312"/>
          <w:sz w:val="32"/>
          <w:szCs w:val="32"/>
        </w:rPr>
      </w:pPr>
      <w:bookmarkStart w:id="0" w:name="_GoBack"/>
      <w:bookmarkEnd w:id="0"/>
    </w:p>
    <w:p w14:paraId="50A7199B">
      <w:pPr>
        <w:widowControl/>
        <w:spacing w:line="330" w:lineRule="atLeast"/>
        <w:jc w:val="center"/>
        <w:rPr>
          <w:rFonts w:ascii="宋体" w:hAnsi="宋体" w:cs="仿宋"/>
          <w:b/>
          <w:bCs/>
          <w:sz w:val="36"/>
          <w:szCs w:val="36"/>
        </w:rPr>
      </w:pPr>
      <w:r>
        <w:rPr>
          <w:rFonts w:hint="eastAsia" w:ascii="宋体" w:hAnsi="宋体" w:cs="仿宋"/>
          <w:b/>
          <w:bCs/>
          <w:sz w:val="36"/>
          <w:szCs w:val="36"/>
        </w:rPr>
        <w:t>大连高新技术产业园区创新创业创投服务中心</w:t>
      </w:r>
    </w:p>
    <w:p w14:paraId="385FC4A9">
      <w:pPr>
        <w:widowControl/>
        <w:spacing w:line="330" w:lineRule="atLeast"/>
        <w:jc w:val="center"/>
        <w:rPr>
          <w:rFonts w:ascii="宋体" w:hAnsi="宋体"/>
          <w:b/>
          <w:bCs/>
          <w:sz w:val="36"/>
          <w:szCs w:val="36"/>
        </w:rPr>
      </w:pPr>
      <w:r>
        <w:rPr>
          <w:rFonts w:hint="eastAsia" w:ascii="宋体" w:hAnsi="宋体" w:cs="仿宋"/>
          <w:b/>
          <w:bCs/>
          <w:sz w:val="36"/>
          <w:szCs w:val="36"/>
        </w:rPr>
        <w:t>2025</w:t>
      </w:r>
      <w:r>
        <w:rPr>
          <w:rFonts w:hint="eastAsia" w:ascii="宋体" w:hAnsi="宋体" w:cs="仿宋"/>
          <w:b/>
          <w:bCs/>
          <w:color w:val="000000"/>
          <w:kern w:val="0"/>
          <w:sz w:val="36"/>
          <w:szCs w:val="36"/>
        </w:rPr>
        <w:t>年部门预算</w:t>
      </w:r>
    </w:p>
    <w:p w14:paraId="69125260">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78A806D0">
      <w:pPr>
        <w:widowControl/>
        <w:spacing w:line="56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4E96C637">
      <w:pPr>
        <w:widowControl/>
        <w:spacing w:line="56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一、主要职责</w:t>
      </w:r>
    </w:p>
    <w:p w14:paraId="1C13ECE7">
      <w:pPr>
        <w:spacing w:line="560" w:lineRule="exact"/>
        <w:ind w:firstLine="600" w:firstLineChars="200"/>
        <w:rPr>
          <w:rFonts w:ascii="仿宋" w:hAnsi="仿宋" w:eastAsia="仿宋"/>
          <w:sz w:val="30"/>
          <w:szCs w:val="30"/>
        </w:rPr>
      </w:pPr>
      <w:r>
        <w:rPr>
          <w:rFonts w:hint="eastAsia" w:ascii="仿宋" w:hAnsi="仿宋" w:eastAsia="仿宋"/>
          <w:sz w:val="30"/>
          <w:szCs w:val="30"/>
        </w:rPr>
        <w:t>（一）负责完善高新区创新创业创投生态环境建设，围绕高新区重点产业发展方向，培育壮大中小微科技企业和新型孵化载体，强化资源对接、政策服务，助力我区科技产业发展，为园区“又高又新”发展提供源泉和动力。</w:t>
      </w:r>
    </w:p>
    <w:p w14:paraId="7C63A32C">
      <w:pPr>
        <w:spacing w:line="560" w:lineRule="exact"/>
        <w:ind w:firstLine="600" w:firstLineChars="200"/>
        <w:rPr>
          <w:rFonts w:ascii="仿宋" w:hAnsi="仿宋" w:eastAsia="仿宋"/>
          <w:sz w:val="30"/>
          <w:szCs w:val="30"/>
        </w:rPr>
      </w:pPr>
      <w:r>
        <w:rPr>
          <w:rFonts w:hint="eastAsia" w:ascii="仿宋" w:hAnsi="仿宋" w:eastAsia="仿宋"/>
          <w:sz w:val="30"/>
          <w:szCs w:val="30"/>
        </w:rPr>
        <w:t>（二）负责“海创周”“海创工程”相关工作，开展海创周活动的策划组织及实施、政策宣传推广、项目征集评审，做好政策兑现、落地服务及跟踪管理等工作。</w:t>
      </w:r>
    </w:p>
    <w:p w14:paraId="6F7B3585">
      <w:pPr>
        <w:spacing w:line="560" w:lineRule="exact"/>
        <w:ind w:firstLine="600" w:firstLineChars="200"/>
        <w:rPr>
          <w:rFonts w:ascii="仿宋" w:hAnsi="仿宋" w:eastAsia="仿宋"/>
          <w:sz w:val="30"/>
          <w:szCs w:val="30"/>
        </w:rPr>
      </w:pPr>
      <w:r>
        <w:rPr>
          <w:rFonts w:hint="eastAsia" w:ascii="仿宋" w:hAnsi="仿宋" w:eastAsia="仿宋"/>
          <w:sz w:val="30"/>
          <w:szCs w:val="30"/>
        </w:rPr>
        <w:t>（三）负责完善国有场地孵化链条建设，出台相关规则、规范，指导运营单位开展相关工作；负责市场化孵化载体服务工作，指导区内市场化孵化载体建设并提供服务，形成以科技企业为核心，双创机构为支撑，政府机构为引导，大学院所和行业企业共同参与的双创生态圈。</w:t>
      </w:r>
    </w:p>
    <w:p w14:paraId="21CE8D12">
      <w:pPr>
        <w:spacing w:line="560" w:lineRule="exact"/>
        <w:ind w:firstLine="600" w:firstLineChars="200"/>
        <w:rPr>
          <w:rFonts w:ascii="仿宋" w:hAnsi="仿宋" w:eastAsia="仿宋"/>
          <w:sz w:val="30"/>
          <w:szCs w:val="30"/>
        </w:rPr>
      </w:pPr>
      <w:r>
        <w:rPr>
          <w:rFonts w:hint="eastAsia" w:ascii="仿宋" w:hAnsi="仿宋" w:eastAsia="仿宋"/>
          <w:sz w:val="30"/>
          <w:szCs w:val="30"/>
        </w:rPr>
        <w:t>（四）负责科技型高成长中小微企业和新型孵化载体的培育工作，通过精准聚集资源、专业服务开展、专业活动对接等手段，助推中小微企业和新型孵化载体高质量发展。</w:t>
      </w:r>
    </w:p>
    <w:p w14:paraId="15B7C85B">
      <w:pPr>
        <w:spacing w:line="560" w:lineRule="exact"/>
        <w:ind w:firstLine="600" w:firstLineChars="200"/>
        <w:rPr>
          <w:rFonts w:ascii="仿宋" w:hAnsi="仿宋" w:eastAsia="仿宋"/>
          <w:sz w:val="30"/>
          <w:szCs w:val="30"/>
        </w:rPr>
      </w:pPr>
      <w:r>
        <w:rPr>
          <w:rFonts w:hint="eastAsia" w:ascii="仿宋" w:hAnsi="仿宋" w:eastAsia="仿宋"/>
          <w:sz w:val="30"/>
          <w:szCs w:val="30"/>
        </w:rPr>
        <w:t>（五）聚合高校院所、大中型企业等资源，发挥联盟协会等社会机构作用，组织开展相关创新创业活动，拓展项目引进渠道，发掘优质创新项目。</w:t>
      </w:r>
    </w:p>
    <w:p w14:paraId="4388653C">
      <w:pPr>
        <w:spacing w:line="560" w:lineRule="exact"/>
        <w:ind w:firstLine="600" w:firstLineChars="200"/>
        <w:rPr>
          <w:rFonts w:ascii="仿宋" w:hAnsi="仿宋" w:eastAsia="仿宋"/>
          <w:sz w:val="30"/>
          <w:szCs w:val="30"/>
        </w:rPr>
      </w:pPr>
      <w:r>
        <w:rPr>
          <w:rFonts w:hint="eastAsia" w:ascii="仿宋" w:hAnsi="仿宋" w:eastAsia="仿宋"/>
          <w:sz w:val="30"/>
          <w:szCs w:val="30"/>
        </w:rPr>
        <w:t>（六）会同相关部门完成高新区国家双创示范基地相关工作，推动基地建设。</w:t>
      </w:r>
    </w:p>
    <w:p w14:paraId="603766D9">
      <w:pPr>
        <w:spacing w:line="560" w:lineRule="exact"/>
        <w:ind w:firstLine="600" w:firstLineChars="200"/>
        <w:rPr>
          <w:rFonts w:ascii="仿宋" w:hAnsi="仿宋" w:eastAsia="仿宋"/>
          <w:sz w:val="30"/>
          <w:szCs w:val="30"/>
        </w:rPr>
      </w:pPr>
      <w:r>
        <w:rPr>
          <w:rFonts w:hint="eastAsia" w:ascii="仿宋" w:hAnsi="仿宋" w:eastAsia="仿宋"/>
          <w:sz w:val="30"/>
          <w:szCs w:val="30"/>
        </w:rPr>
        <w:t>（七）承担高新区创新示范街区试点工作，做好创新示范街区规划建设及品牌推广，推动联合创业、融合创新。</w:t>
      </w:r>
    </w:p>
    <w:p w14:paraId="4FFE2270">
      <w:pPr>
        <w:spacing w:line="560" w:lineRule="exact"/>
        <w:ind w:firstLine="600" w:firstLineChars="200"/>
        <w:rPr>
          <w:rFonts w:ascii="仿宋" w:hAnsi="仿宋" w:eastAsia="仿宋"/>
          <w:sz w:val="30"/>
          <w:szCs w:val="30"/>
        </w:rPr>
      </w:pPr>
      <w:r>
        <w:rPr>
          <w:rFonts w:hint="eastAsia" w:ascii="仿宋" w:hAnsi="仿宋" w:eastAsia="仿宋"/>
          <w:sz w:val="30"/>
          <w:szCs w:val="30"/>
        </w:rPr>
        <w:t>（八）负责优化区域创投服务生态环境，拓宽企业融资渠道，为高新区科技型中小微企业与各类金融资源有效对接提供便利渠道、专业指导和全方位的投融资服务。</w:t>
      </w:r>
    </w:p>
    <w:p w14:paraId="4E097FCE">
      <w:pPr>
        <w:spacing w:line="560" w:lineRule="exact"/>
        <w:ind w:firstLine="600" w:firstLineChars="200"/>
        <w:rPr>
          <w:rFonts w:ascii="仿宋" w:hAnsi="仿宋" w:eastAsia="仿宋"/>
          <w:sz w:val="30"/>
          <w:szCs w:val="30"/>
        </w:rPr>
      </w:pPr>
      <w:r>
        <w:rPr>
          <w:rFonts w:hint="eastAsia" w:ascii="仿宋" w:hAnsi="仿宋" w:eastAsia="仿宋"/>
          <w:sz w:val="30"/>
          <w:szCs w:val="30"/>
        </w:rPr>
        <w:t>（九）负责营造“鼓励创业、宽容失败”的环境和氛围，挖掘创新创业创投工作重大成就、典型事例，进行全方位、多层次、多渠道的宣传和褒奖，激发高新区创新创业创投活力。</w:t>
      </w:r>
    </w:p>
    <w:p w14:paraId="28B0DC70">
      <w:pPr>
        <w:spacing w:line="560" w:lineRule="exact"/>
        <w:ind w:firstLine="600" w:firstLineChars="200"/>
        <w:rPr>
          <w:rFonts w:ascii="仿宋" w:hAnsi="仿宋" w:eastAsia="仿宋"/>
          <w:sz w:val="30"/>
          <w:szCs w:val="30"/>
        </w:rPr>
      </w:pPr>
      <w:r>
        <w:rPr>
          <w:rFonts w:hint="eastAsia" w:ascii="仿宋" w:hAnsi="仿宋" w:eastAsia="仿宋"/>
          <w:sz w:val="30"/>
          <w:szCs w:val="30"/>
        </w:rPr>
        <w:t xml:space="preserve">（十）负责加强中心党风廉政建设，形成高效廉洁自律的工作作风；加强团队建设，狠抓团队组织建设、政治建设、纪律建设、作风建设，打造一支“能打硬仗、能打赢仗”的专业化团队。    </w:t>
      </w:r>
    </w:p>
    <w:p w14:paraId="102928BE">
      <w:pPr>
        <w:spacing w:line="560" w:lineRule="exact"/>
        <w:ind w:firstLine="600" w:firstLineChars="200"/>
        <w:rPr>
          <w:rFonts w:ascii="仿宋" w:hAnsi="仿宋" w:eastAsia="仿宋"/>
          <w:sz w:val="30"/>
          <w:szCs w:val="30"/>
        </w:rPr>
      </w:pPr>
      <w:r>
        <w:rPr>
          <w:rFonts w:hint="eastAsia" w:ascii="仿宋" w:hAnsi="仿宋" w:eastAsia="仿宋"/>
          <w:sz w:val="30"/>
          <w:szCs w:val="30"/>
        </w:rPr>
        <w:t>（十一）承担高新区党工委、管委会交办的其他工作。</w:t>
      </w:r>
    </w:p>
    <w:p w14:paraId="31CDE9D0">
      <w:pPr>
        <w:widowControl/>
        <w:spacing w:line="56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28B9FDCE">
      <w:pPr>
        <w:spacing w:line="560" w:lineRule="exact"/>
        <w:ind w:firstLine="600" w:firstLineChars="200"/>
        <w:rPr>
          <w:rFonts w:ascii="仿宋" w:hAnsi="仿宋" w:eastAsia="仿宋" w:cs="黑体"/>
          <w:sz w:val="30"/>
          <w:szCs w:val="30"/>
        </w:rPr>
      </w:pPr>
      <w:r>
        <w:rPr>
          <w:rFonts w:hint="eastAsia" w:ascii="仿宋" w:hAnsi="仿宋" w:eastAsia="仿宋" w:cs="黑体"/>
          <w:sz w:val="30"/>
          <w:szCs w:val="30"/>
        </w:rPr>
        <w:t>从预算单位构成看，大连高新技术产业园区创新创业创投服务中心部门预算仅包括：大连高新技术产业园区创新创业创投服务中心本级，无下属行政事业单位。</w:t>
      </w:r>
    </w:p>
    <w:p w14:paraId="0ECC0E13">
      <w:pPr>
        <w:spacing w:line="560" w:lineRule="exact"/>
        <w:ind w:firstLine="600" w:firstLineChars="200"/>
        <w:rPr>
          <w:rFonts w:ascii="仿宋" w:hAnsi="仿宋" w:eastAsia="仿宋"/>
          <w:sz w:val="30"/>
          <w:szCs w:val="30"/>
        </w:rPr>
      </w:pPr>
      <w:r>
        <w:rPr>
          <w:rFonts w:hint="eastAsia" w:ascii="仿宋" w:hAnsi="仿宋" w:eastAsia="仿宋" w:cs="黑体"/>
          <w:sz w:val="30"/>
          <w:szCs w:val="30"/>
        </w:rPr>
        <w:t>大连高新技术产业园区创新创业创投服务中心内设机构3个</w:t>
      </w:r>
      <w:r>
        <w:rPr>
          <w:rFonts w:ascii="仿宋" w:hAnsi="仿宋" w:eastAsia="仿宋" w:cs="黑体"/>
          <w:sz w:val="30"/>
          <w:szCs w:val="30"/>
        </w:rPr>
        <w:t>，包括：</w:t>
      </w:r>
      <w:r>
        <w:rPr>
          <w:rFonts w:hint="eastAsia" w:ascii="仿宋" w:hAnsi="仿宋" w:eastAsia="仿宋" w:cs="黑体"/>
          <w:sz w:val="30"/>
          <w:szCs w:val="30"/>
        </w:rPr>
        <w:t>综合部、创新创业服务部、海创周工作部（创</w:t>
      </w:r>
      <w:r>
        <w:rPr>
          <w:rFonts w:hint="eastAsia" w:ascii="仿宋" w:hAnsi="仿宋" w:eastAsia="仿宋"/>
          <w:sz w:val="30"/>
          <w:szCs w:val="30"/>
        </w:rPr>
        <w:t>投服务部）。</w:t>
      </w:r>
    </w:p>
    <w:p w14:paraId="4EB50CD9">
      <w:pPr>
        <w:widowControl/>
        <w:spacing w:line="560" w:lineRule="exact"/>
        <w:ind w:firstLine="600" w:firstLineChars="200"/>
        <w:jc w:val="left"/>
        <w:rPr>
          <w:rFonts w:ascii="仿宋" w:hAnsi="仿宋" w:eastAsia="仿宋" w:cs="仿宋"/>
          <w:color w:val="000000"/>
          <w:kern w:val="0"/>
          <w:sz w:val="30"/>
          <w:szCs w:val="30"/>
        </w:rPr>
      </w:pPr>
    </w:p>
    <w:p w14:paraId="3AF771BC">
      <w:pPr>
        <w:widowControl/>
        <w:spacing w:line="56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435FEAA7">
      <w:pPr>
        <w:widowControl/>
        <w:spacing w:line="560" w:lineRule="exac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5EE3FCA6">
      <w:pPr>
        <w:widowControl/>
        <w:spacing w:line="560" w:lineRule="exact"/>
        <w:ind w:firstLine="600" w:firstLineChars="200"/>
        <w:rPr>
          <w:rFonts w:ascii="仿宋" w:hAnsi="仿宋" w:eastAsia="仿宋"/>
          <w:sz w:val="30"/>
          <w:szCs w:val="30"/>
        </w:rPr>
      </w:pPr>
      <w:r>
        <w:rPr>
          <w:rFonts w:hint="eastAsia" w:ascii="仿宋" w:hAnsi="仿宋" w:eastAsia="仿宋" w:cs="仿宋"/>
          <w:color w:val="000000"/>
          <w:kern w:val="0"/>
          <w:sz w:val="30"/>
          <w:szCs w:val="30"/>
        </w:rPr>
        <w:t>按照综合预算的原则，本部门所有收入和支出均纳入部门预算管理，无下级预算单位。</w:t>
      </w:r>
      <w:r>
        <w:rPr>
          <w:rFonts w:hint="eastAsia" w:ascii="仿宋" w:hAnsi="仿宋" w:eastAsia="仿宋"/>
          <w:sz w:val="30"/>
          <w:szCs w:val="30"/>
        </w:rPr>
        <w:t>收入包括：财政拨款收入3658.95万元，其中包括一般公共预算拨款收入3652.3万元，上年结转结余6.65万元；支出预算3658.95万元（含项目支出2827.22万元），其中工资福利和对个人家庭补助支出807.99万元，商品和服务支出821.64万元，对企业补助2029.32万元。</w:t>
      </w:r>
      <w:r>
        <w:rPr>
          <w:rFonts w:hint="eastAsia" w:ascii="仿宋" w:hAnsi="仿宋" w:eastAsia="仿宋" w:cs="仿宋"/>
          <w:color w:val="000000"/>
          <w:kern w:val="0"/>
          <w:sz w:val="30"/>
          <w:szCs w:val="30"/>
        </w:rPr>
        <w:t>全部为一般公共预算收支，无政府性基金预算收支，无国有资本经营预算收支。</w:t>
      </w:r>
      <w:r>
        <w:rPr>
          <w:rFonts w:hint="eastAsia" w:ascii="仿宋" w:hAnsi="仿宋" w:eastAsia="仿宋"/>
          <w:sz w:val="30"/>
          <w:szCs w:val="30"/>
        </w:rPr>
        <w:t>比2024年预算数增加558.21万元，其中工资福利和对个人家庭补助支出增加137.99万元，商品和服务支出增加590.9万元，对企业补助支出减少170.68万元。</w:t>
      </w:r>
    </w:p>
    <w:p w14:paraId="19E81C5F">
      <w:pPr>
        <w:widowControl/>
        <w:spacing w:line="560" w:lineRule="exact"/>
        <w:ind w:firstLine="600" w:firstLineChars="200"/>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7050A62F">
      <w:pPr>
        <w:spacing w:line="560" w:lineRule="exact"/>
        <w:ind w:firstLine="600" w:firstLineChars="200"/>
        <w:rPr>
          <w:rFonts w:ascii="仿宋" w:hAnsi="仿宋" w:eastAsia="仿宋" w:cs="仿宋"/>
          <w:color w:val="000000"/>
          <w:kern w:val="0"/>
          <w:sz w:val="30"/>
          <w:szCs w:val="30"/>
        </w:rPr>
      </w:pPr>
      <w:r>
        <w:rPr>
          <w:rFonts w:hint="eastAsia" w:ascii="仿宋" w:hAnsi="仿宋" w:eastAsia="仿宋"/>
          <w:sz w:val="30"/>
          <w:szCs w:val="30"/>
        </w:rPr>
        <w:t>无“三公”经费支出</w:t>
      </w:r>
      <w:r>
        <w:rPr>
          <w:rFonts w:hint="eastAsia" w:ascii="仿宋" w:hAnsi="仿宋" w:eastAsia="仿宋" w:cs="仿宋"/>
          <w:sz w:val="30"/>
          <w:szCs w:val="30"/>
        </w:rPr>
        <w:t>。</w:t>
      </w:r>
      <w:r>
        <w:rPr>
          <w:rFonts w:ascii="仿宋" w:hAnsi="仿宋" w:eastAsia="仿宋" w:cs="仿宋"/>
          <w:color w:val="000000"/>
          <w:kern w:val="0"/>
          <w:sz w:val="30"/>
          <w:szCs w:val="30"/>
        </w:rPr>
        <w:t>主要是按照中央及市委、市政府关于厉行节约、改进工作作风、密切联系群众</w:t>
      </w:r>
      <w:r>
        <w:rPr>
          <w:rFonts w:hint="eastAsia" w:ascii="仿宋" w:hAnsi="仿宋" w:eastAsia="仿宋" w:cs="仿宋"/>
          <w:color w:val="000000"/>
          <w:kern w:val="0"/>
          <w:sz w:val="30"/>
          <w:szCs w:val="30"/>
          <w:lang w:eastAsia="zh-CN"/>
        </w:rPr>
        <w:t>中央八项规定</w:t>
      </w:r>
      <w:r>
        <w:rPr>
          <w:rFonts w:ascii="仿宋" w:hAnsi="仿宋" w:eastAsia="仿宋" w:cs="仿宋"/>
          <w:color w:val="000000"/>
          <w:kern w:val="0"/>
          <w:sz w:val="30"/>
          <w:szCs w:val="30"/>
        </w:rPr>
        <w:t>等有关要求，严格控制“三公”经费支出</w:t>
      </w:r>
      <w:r>
        <w:rPr>
          <w:rFonts w:hint="eastAsia" w:ascii="仿宋" w:hAnsi="仿宋" w:eastAsia="仿宋" w:cs="仿宋"/>
          <w:color w:val="000000"/>
          <w:kern w:val="0"/>
          <w:sz w:val="30"/>
          <w:szCs w:val="30"/>
        </w:rPr>
        <w:t>。</w:t>
      </w:r>
    </w:p>
    <w:p w14:paraId="08B94832">
      <w:pPr>
        <w:widowControl/>
        <w:spacing w:line="560" w:lineRule="exac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4CACC557">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机关运行经费包括公用经费27.22万元。</w:t>
      </w:r>
    </w:p>
    <w:p w14:paraId="4918A10A">
      <w:pPr>
        <w:widowControl/>
        <w:spacing w:line="560" w:lineRule="exac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0813769D">
      <w:pPr>
        <w:widowControl/>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政府采购合计680万元，其中进行方案策划30万元，场地租赁及能源费50万元，会场规划设计及搭建43万元，主体活动390万元，人员组织及会务费48.5万元，宣传及其他相关费用54.5万元，不可预见费用30万元，服务费34万元。</w:t>
      </w:r>
    </w:p>
    <w:p w14:paraId="32095A60">
      <w:pPr>
        <w:widowControl/>
        <w:spacing w:line="56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5E6E7F8B">
      <w:pPr>
        <w:spacing w:line="560" w:lineRule="exact"/>
        <w:ind w:firstLine="600" w:firstLineChars="200"/>
        <w:rPr>
          <w:rFonts w:ascii="仿宋" w:hAnsi="仿宋" w:eastAsia="仿宋" w:cs="黑体"/>
          <w:sz w:val="30"/>
          <w:szCs w:val="30"/>
        </w:rPr>
      </w:pPr>
      <w:r>
        <w:rPr>
          <w:rFonts w:hint="eastAsia" w:ascii="仿宋" w:hAnsi="仿宋" w:eastAsia="仿宋" w:cs="黑体"/>
          <w:sz w:val="30"/>
          <w:szCs w:val="30"/>
        </w:rPr>
        <w:t>无政府性基金预算财政拨款收入</w:t>
      </w:r>
      <w:r>
        <w:rPr>
          <w:rFonts w:ascii="仿宋" w:hAnsi="仿宋" w:eastAsia="仿宋" w:cs="黑体"/>
          <w:sz w:val="30"/>
          <w:szCs w:val="30"/>
        </w:rPr>
        <w:t>和</w:t>
      </w:r>
      <w:r>
        <w:rPr>
          <w:rFonts w:hint="eastAsia" w:ascii="仿宋" w:hAnsi="仿宋" w:eastAsia="仿宋" w:cs="黑体"/>
          <w:sz w:val="30"/>
          <w:szCs w:val="30"/>
        </w:rPr>
        <w:t>支出。</w:t>
      </w:r>
    </w:p>
    <w:p w14:paraId="6B43DE2B">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6B627461">
      <w:pPr>
        <w:spacing w:line="560" w:lineRule="exact"/>
        <w:ind w:firstLine="600" w:firstLineChars="200"/>
        <w:rPr>
          <w:rFonts w:ascii="仿宋" w:hAnsi="仿宋" w:eastAsia="仿宋" w:cs="黑体"/>
          <w:sz w:val="30"/>
          <w:szCs w:val="30"/>
        </w:rPr>
      </w:pPr>
      <w:r>
        <w:rPr>
          <w:rFonts w:hint="eastAsia" w:ascii="仿宋" w:hAnsi="仿宋" w:eastAsia="仿宋" w:cs="黑体"/>
          <w:sz w:val="30"/>
          <w:szCs w:val="30"/>
        </w:rPr>
        <w:t>无</w:t>
      </w:r>
      <w:r>
        <w:rPr>
          <w:rFonts w:hint="eastAsia" w:ascii="仿宋" w:hAnsi="仿宋" w:eastAsia="仿宋" w:cs="仿宋"/>
          <w:color w:val="000000"/>
          <w:kern w:val="0"/>
          <w:sz w:val="30"/>
          <w:szCs w:val="30"/>
        </w:rPr>
        <w:t>国有资产占有使用情况</w:t>
      </w:r>
      <w:r>
        <w:rPr>
          <w:rFonts w:hint="eastAsia" w:ascii="仿宋" w:hAnsi="仿宋" w:eastAsia="仿宋" w:cs="黑体"/>
          <w:sz w:val="30"/>
          <w:szCs w:val="30"/>
        </w:rPr>
        <w:t>。</w:t>
      </w:r>
    </w:p>
    <w:p w14:paraId="18CC209C">
      <w:pPr>
        <w:widowControl/>
        <w:spacing w:line="56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14:paraId="324431DF">
      <w:pPr>
        <w:spacing w:line="560" w:lineRule="exact"/>
        <w:ind w:firstLine="600" w:firstLineChars="200"/>
        <w:rPr>
          <w:rFonts w:ascii="仿宋" w:hAnsi="仿宋" w:eastAsia="仿宋" w:cs="仿宋"/>
          <w:kern w:val="0"/>
          <w:sz w:val="30"/>
          <w:szCs w:val="30"/>
        </w:rPr>
      </w:pPr>
      <w:r>
        <w:rPr>
          <w:rFonts w:ascii="仿宋" w:hAnsi="仿宋" w:eastAsia="仿宋" w:cs="Verdana"/>
          <w:kern w:val="0"/>
          <w:sz w:val="30"/>
          <w:szCs w:val="30"/>
        </w:rPr>
        <w:t>20</w:t>
      </w:r>
      <w:r>
        <w:rPr>
          <w:rFonts w:hint="eastAsia" w:ascii="仿宋" w:hAnsi="仿宋" w:eastAsia="仿宋" w:cs="Verdana"/>
          <w:kern w:val="0"/>
          <w:sz w:val="30"/>
          <w:szCs w:val="30"/>
        </w:rPr>
        <w:t>25年，按照“先有绩效，后有预算”原则，本部门共计编制绩效目标4个，预算金额2820.57万元，占区本级项目支出预算比重</w:t>
      </w:r>
      <w:r>
        <w:rPr>
          <w:rFonts w:ascii="仿宋" w:hAnsi="仿宋" w:eastAsia="仿宋" w:cs="Verdana"/>
          <w:kern w:val="0"/>
          <w:sz w:val="30"/>
          <w:szCs w:val="30"/>
        </w:rPr>
        <w:t>100%</w:t>
      </w:r>
      <w:r>
        <w:rPr>
          <w:rFonts w:hint="eastAsia" w:ascii="仿宋" w:hAnsi="仿宋" w:eastAsia="仿宋" w:cs="Verdana"/>
          <w:kern w:val="0"/>
          <w:sz w:val="30"/>
          <w:szCs w:val="30"/>
        </w:rPr>
        <w:t>。</w:t>
      </w:r>
    </w:p>
    <w:p w14:paraId="184E4CCF">
      <w:pPr>
        <w:spacing w:line="560" w:lineRule="exact"/>
        <w:ind w:firstLine="600" w:firstLineChars="200"/>
        <w:rPr>
          <w:rFonts w:ascii="仿宋" w:hAnsi="仿宋" w:eastAsia="仿宋" w:cs="仿宋"/>
          <w:color w:val="000000"/>
          <w:kern w:val="0"/>
          <w:sz w:val="30"/>
          <w:szCs w:val="30"/>
        </w:rPr>
      </w:pPr>
      <w:r>
        <w:rPr>
          <w:rFonts w:hint="eastAsia" w:ascii="仿宋" w:hAnsi="仿宋" w:eastAsia="仿宋" w:cs="Verdana"/>
          <w:color w:val="000000"/>
          <w:sz w:val="30"/>
          <w:szCs w:val="30"/>
        </w:rPr>
        <w:t>八、</w:t>
      </w:r>
      <w:r>
        <w:rPr>
          <w:rFonts w:hint="eastAsia" w:ascii="仿宋" w:hAnsi="仿宋" w:eastAsia="仿宋" w:cs="Verdana"/>
          <w:kern w:val="0"/>
          <w:sz w:val="30"/>
          <w:szCs w:val="30"/>
        </w:rPr>
        <w:t>海创周活动专项经费项目</w:t>
      </w:r>
    </w:p>
    <w:p w14:paraId="41EAC717">
      <w:pPr>
        <w:spacing w:line="560" w:lineRule="exact"/>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1.项目概述</w:t>
      </w:r>
    </w:p>
    <w:p w14:paraId="30AF1C69">
      <w:pPr>
        <w:spacing w:line="560" w:lineRule="exact"/>
        <w:ind w:firstLine="600" w:firstLineChars="200"/>
        <w:rPr>
          <w:rFonts w:ascii="仿宋" w:hAnsi="仿宋" w:eastAsia="仿宋" w:cs="Verdana"/>
          <w:kern w:val="0"/>
          <w:sz w:val="30"/>
          <w:szCs w:val="30"/>
        </w:rPr>
      </w:pPr>
      <w:r>
        <w:rPr>
          <w:rFonts w:hint="eastAsia" w:ascii="仿宋" w:hAnsi="仿宋" w:eastAsia="仿宋" w:cs="Verdana"/>
          <w:kern w:val="0"/>
          <w:sz w:val="30"/>
          <w:szCs w:val="30"/>
        </w:rPr>
        <w:t>根据管委会的工作安排，发挥“海创周”品牌效应，开展项目对接和人才引进，以“海创工程”政策为抓手，鼓励具有关键核心技术的优质人才在高新区创业，推动高端科技项目落地并在高新区注册企业，加速科技成果转化，助力企业快速发展，持续推动我区科技创新和高科技产业高质量发展</w:t>
      </w:r>
    </w:p>
    <w:p w14:paraId="48863B2C">
      <w:pPr>
        <w:spacing w:line="560" w:lineRule="exact"/>
        <w:ind w:firstLine="600" w:firstLineChars="200"/>
        <w:rPr>
          <w:rFonts w:ascii="仿宋" w:hAnsi="仿宋" w:eastAsia="仿宋" w:cs="仿宋_GB2312"/>
          <w:color w:val="000000"/>
          <w:kern w:val="0"/>
          <w:sz w:val="30"/>
          <w:szCs w:val="30"/>
        </w:rPr>
      </w:pPr>
      <w:r>
        <w:rPr>
          <w:rFonts w:hint="eastAsia" w:ascii="仿宋" w:hAnsi="仿宋" w:eastAsia="仿宋" w:cs="仿宋_GB2312"/>
          <w:bCs/>
          <w:color w:val="000000"/>
          <w:kern w:val="0"/>
          <w:sz w:val="30"/>
          <w:szCs w:val="30"/>
        </w:rPr>
        <w:t>2.立项依据</w:t>
      </w:r>
    </w:p>
    <w:p w14:paraId="2A4CA203">
      <w:pPr>
        <w:spacing w:line="560" w:lineRule="exact"/>
        <w:ind w:firstLine="600" w:firstLineChars="200"/>
        <w:outlineLvl w:val="0"/>
        <w:rPr>
          <w:rFonts w:ascii="仿宋" w:hAnsi="仿宋" w:eastAsia="仿宋" w:cs="仿宋_GB2312"/>
          <w:color w:val="000000"/>
          <w:kern w:val="0"/>
          <w:sz w:val="30"/>
          <w:szCs w:val="30"/>
        </w:rPr>
      </w:pPr>
      <w:r>
        <w:rPr>
          <w:rFonts w:hint="eastAsia" w:ascii="仿宋" w:hAnsi="仿宋" w:eastAsia="仿宋" w:cs="仿宋_GB2312"/>
          <w:color w:val="333333"/>
          <w:sz w:val="30"/>
          <w:szCs w:val="30"/>
        </w:rPr>
        <w:t>根据管委会对2025海创周活动工作安排，管委会领导批示及会议纪要精神。</w:t>
      </w:r>
    </w:p>
    <w:p w14:paraId="59D216EE">
      <w:pPr>
        <w:spacing w:line="560" w:lineRule="exact"/>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3.实施主体</w:t>
      </w:r>
    </w:p>
    <w:p w14:paraId="059C2198">
      <w:pPr>
        <w:spacing w:line="560" w:lineRule="exact"/>
        <w:ind w:left="160" w:firstLine="450" w:firstLineChars="150"/>
        <w:rPr>
          <w:rFonts w:ascii="仿宋" w:hAnsi="仿宋" w:eastAsia="仿宋" w:cs="Verdana"/>
          <w:kern w:val="0"/>
          <w:sz w:val="30"/>
          <w:szCs w:val="30"/>
        </w:rPr>
      </w:pPr>
      <w:r>
        <w:rPr>
          <w:rFonts w:hint="eastAsia" w:ascii="仿宋" w:hAnsi="仿宋" w:eastAsia="仿宋" w:cs="仿宋"/>
          <w:sz w:val="30"/>
          <w:szCs w:val="30"/>
        </w:rPr>
        <w:t>项目具体组织实施的部门为</w:t>
      </w:r>
      <w:r>
        <w:rPr>
          <w:rFonts w:hint="eastAsia" w:ascii="仿宋" w:hAnsi="仿宋" w:eastAsia="仿宋" w:cs="Verdana"/>
          <w:kern w:val="0"/>
          <w:sz w:val="30"/>
          <w:szCs w:val="30"/>
        </w:rPr>
        <w:t>大连高新技术产业园区创新创业创投服务中心。</w:t>
      </w:r>
    </w:p>
    <w:p w14:paraId="0BE49B26">
      <w:pPr>
        <w:spacing w:line="560" w:lineRule="exact"/>
        <w:ind w:left="160" w:firstLine="450" w:firstLineChars="15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4.实施方案</w:t>
      </w:r>
    </w:p>
    <w:p w14:paraId="7F03E9FC">
      <w:pPr>
        <w:spacing w:line="560" w:lineRule="exact"/>
        <w:ind w:firstLine="645"/>
        <w:rPr>
          <w:rFonts w:ascii="仿宋" w:hAnsi="仿宋" w:eastAsia="仿宋" w:cs="Verdana"/>
          <w:kern w:val="0"/>
          <w:sz w:val="30"/>
          <w:szCs w:val="30"/>
        </w:rPr>
      </w:pPr>
      <w:r>
        <w:rPr>
          <w:rFonts w:ascii="仿宋" w:hAnsi="仿宋" w:eastAsia="仿宋" w:cs="Verdana"/>
          <w:kern w:val="0"/>
          <w:sz w:val="30"/>
          <w:szCs w:val="30"/>
        </w:rPr>
        <w:t>第26届海创周立足</w:t>
      </w:r>
      <w:r>
        <w:rPr>
          <w:rFonts w:hint="eastAsia" w:ascii="仿宋" w:hAnsi="仿宋" w:eastAsia="仿宋" w:cs="Verdana"/>
          <w:kern w:val="0"/>
          <w:sz w:val="30"/>
          <w:szCs w:val="30"/>
        </w:rPr>
        <w:t>大连</w:t>
      </w:r>
      <w:r>
        <w:rPr>
          <w:rFonts w:ascii="仿宋" w:hAnsi="仿宋" w:eastAsia="仿宋" w:cs="Verdana"/>
          <w:kern w:val="0"/>
          <w:sz w:val="30"/>
          <w:szCs w:val="30"/>
        </w:rPr>
        <w:t xml:space="preserve">产业发展，聚焦AI大模型、智慧海洋、装备制造、清洁能源、车联网等产业细分领域，坚持国际化、市场化、专业化办会原则，秉承“发展高科技、实现产业化，培育形成新质生产力”的工作理念，通过项目路演、人才招引、揭榜挂帅、新产品发布、大小企业对接、主题论坛等系列活动，全年常态化搭建人才、项目、市场、资本对接交流合作平台，汇聚国内外优质创新资源，持续完善区域产业创新生态，进一步推动科技创新与产业创新深度融合，助力加快构建具有大连特色优势的现代化产业体系。 </w:t>
      </w:r>
    </w:p>
    <w:p w14:paraId="031EF21E">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步骤和计划</w:t>
      </w:r>
    </w:p>
    <w:p w14:paraId="2BF68F93">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（1）制定工作安排</w:t>
      </w:r>
    </w:p>
    <w:p w14:paraId="2D42329E">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年初制定详细的工作计划，按时间节点稳步推进，确保年度各项工作有条不紊地开展。</w:t>
      </w:r>
    </w:p>
    <w:p w14:paraId="20FD03D8">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（2）规范资金预算编制及使用</w:t>
      </w:r>
    </w:p>
    <w:p w14:paraId="19A74D60">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一是严格按照部门申请、财政审核的程序，填报专项资金预算表、专项资金绩效目标表，明确申请项目的内容和金额、实施方案、绩效目标等。</w:t>
      </w:r>
    </w:p>
    <w:p w14:paraId="6D43B9FE">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二是实行专款专用，明确专项资金期限。</w:t>
      </w:r>
    </w:p>
    <w:p w14:paraId="19E69CEF">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（3）组织项目实施</w:t>
      </w:r>
    </w:p>
    <w:p w14:paraId="300473EC">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按照指定的工作计划，推动各项工作开展。</w:t>
      </w:r>
    </w:p>
    <w:p w14:paraId="3B9085EC">
      <w:pPr>
        <w:spacing w:line="560" w:lineRule="exact"/>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5.实施周期</w:t>
      </w:r>
    </w:p>
    <w:p w14:paraId="0127C3E7">
      <w:pPr>
        <w:spacing w:line="560" w:lineRule="exact"/>
        <w:ind w:firstLine="600" w:firstLineChars="200"/>
        <w:rPr>
          <w:rFonts w:ascii="仿宋" w:hAnsi="仿宋" w:eastAsia="仿宋" w:cs="仿宋_GB2312"/>
          <w:color w:val="000000"/>
          <w:kern w:val="0"/>
          <w:sz w:val="30"/>
          <w:szCs w:val="30"/>
        </w:rPr>
      </w:pPr>
      <w:r>
        <w:rPr>
          <w:rFonts w:hint="eastAsia" w:ascii="仿宋" w:hAnsi="仿宋" w:eastAsia="仿宋" w:cs="仿宋"/>
          <w:sz w:val="30"/>
          <w:szCs w:val="30"/>
        </w:rPr>
        <w:t>项目起止时间为</w:t>
      </w:r>
      <w:r>
        <w:rPr>
          <w:rFonts w:hint="eastAsia" w:ascii="仿宋" w:hAnsi="仿宋" w:eastAsia="仿宋" w:cs="仿宋_GB2312"/>
          <w:color w:val="000000"/>
          <w:kern w:val="0"/>
          <w:sz w:val="30"/>
          <w:szCs w:val="30"/>
        </w:rPr>
        <w:t>2025年1月至2025年12月</w:t>
      </w:r>
    </w:p>
    <w:p w14:paraId="396862DF">
      <w:pPr>
        <w:spacing w:line="560" w:lineRule="exact"/>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6.年度预算安排</w:t>
      </w:r>
    </w:p>
    <w:p w14:paraId="0AC3B87C">
      <w:pPr>
        <w:widowControl/>
        <w:spacing w:line="560" w:lineRule="exact"/>
        <w:ind w:firstLine="600" w:firstLineChars="200"/>
        <w:jc w:val="left"/>
        <w:rPr>
          <w:rFonts w:ascii="仿宋" w:hAnsi="仿宋" w:eastAsia="仿宋" w:cs="仿宋_GB2312"/>
          <w:color w:val="000000"/>
          <w:kern w:val="0"/>
          <w:sz w:val="30"/>
          <w:szCs w:val="30"/>
        </w:rPr>
      </w:pPr>
      <w:r>
        <w:rPr>
          <w:rFonts w:hint="eastAsia" w:ascii="仿宋" w:hAnsi="仿宋" w:eastAsia="仿宋" w:cs="仿宋"/>
          <w:sz w:val="30"/>
          <w:szCs w:val="30"/>
        </w:rPr>
        <w:t>2025年拟安排该项目一般公共预算资金</w:t>
      </w:r>
      <w:r>
        <w:rPr>
          <w:rFonts w:hint="eastAsia" w:ascii="仿宋" w:hAnsi="仿宋" w:eastAsia="仿宋" w:cs="仿宋_GB2312"/>
          <w:color w:val="000000"/>
          <w:kern w:val="0"/>
          <w:sz w:val="30"/>
          <w:szCs w:val="30"/>
        </w:rPr>
        <w:t>680万元。</w:t>
      </w:r>
    </w:p>
    <w:p w14:paraId="3EDA9864">
      <w:pPr>
        <w:widowControl/>
        <w:spacing w:line="560" w:lineRule="exact"/>
        <w:jc w:val="left"/>
        <w:rPr>
          <w:rFonts w:ascii="仿宋" w:hAnsi="仿宋" w:eastAsia="仿宋" w:cs="仿宋"/>
          <w:color w:val="000000"/>
          <w:kern w:val="0"/>
          <w:sz w:val="30"/>
          <w:szCs w:val="30"/>
        </w:rPr>
      </w:pPr>
    </w:p>
    <w:p w14:paraId="0DCF58F5">
      <w:pPr>
        <w:widowControl/>
        <w:spacing w:line="56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114BC5DA">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79E71E15">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5F8CC8C7">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20A6BBE6">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30531B88">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C716136">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3F3BA088">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23B379A0">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143B83F7">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45E78A6B">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10.</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1C5105D4">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11.</w:t>
      </w:r>
      <w:r>
        <w:rPr>
          <w:rFonts w:hint="eastAsia" w:ascii="仿宋" w:hAnsi="仿宋" w:eastAsia="仿宋" w:cs="仿宋"/>
          <w:color w:val="000000"/>
          <w:kern w:val="0"/>
          <w:sz w:val="30"/>
          <w:szCs w:val="30"/>
        </w:rPr>
        <w:t>一般公共服务（类）财政事务（款）其他财政事务支出（项）：反映其他财政事务方面的支出。</w:t>
      </w:r>
    </w:p>
    <w:p w14:paraId="07F6FC99">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3D2BD63A">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13.</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30E1524C">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14.</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24586436">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3F08C03E">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22A92EAD">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00C7A3EB">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0F1AEDEE">
      <w:pPr>
        <w:widowControl/>
        <w:spacing w:line="560" w:lineRule="exac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w:t>
      </w:r>
    </w:p>
    <w:p w14:paraId="1177984D">
      <w:pPr>
        <w:widowControl/>
        <w:spacing w:line="560" w:lineRule="exact"/>
        <w:ind w:firstLine="5550" w:firstLineChars="185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2025年2月5日</w:t>
      </w: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21900">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7</w:t>
    </w:r>
    <w:r>
      <w:rPr>
        <w:rStyle w:val="6"/>
      </w:rPr>
      <w:fldChar w:fldCharType="end"/>
    </w:r>
  </w:p>
  <w:p w14:paraId="01BA07A1">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716C7">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4B81D9F8">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kwNGRiZGY1MzBhMTJkODIxZWRjZDQ4NWVkNDZkYmYifQ=="/>
  </w:docVars>
  <w:rsids>
    <w:rsidRoot w:val="00F01060"/>
    <w:rsid w:val="00002530"/>
    <w:rsid w:val="000045B8"/>
    <w:rsid w:val="000130C2"/>
    <w:rsid w:val="00016264"/>
    <w:rsid w:val="00017B87"/>
    <w:rsid w:val="000220BC"/>
    <w:rsid w:val="00022B54"/>
    <w:rsid w:val="0003365D"/>
    <w:rsid w:val="00041854"/>
    <w:rsid w:val="00045CEA"/>
    <w:rsid w:val="00046D52"/>
    <w:rsid w:val="00053D99"/>
    <w:rsid w:val="00066F30"/>
    <w:rsid w:val="00084B59"/>
    <w:rsid w:val="0009175B"/>
    <w:rsid w:val="000A55C1"/>
    <w:rsid w:val="000C6D05"/>
    <w:rsid w:val="000E21C4"/>
    <w:rsid w:val="000E6C93"/>
    <w:rsid w:val="000E7D75"/>
    <w:rsid w:val="000F4551"/>
    <w:rsid w:val="000F7EC7"/>
    <w:rsid w:val="00101BE5"/>
    <w:rsid w:val="00104AD4"/>
    <w:rsid w:val="0010550E"/>
    <w:rsid w:val="00105E0D"/>
    <w:rsid w:val="00106522"/>
    <w:rsid w:val="0010762F"/>
    <w:rsid w:val="00122ACC"/>
    <w:rsid w:val="00150877"/>
    <w:rsid w:val="001518B3"/>
    <w:rsid w:val="001602CA"/>
    <w:rsid w:val="00161209"/>
    <w:rsid w:val="0016161C"/>
    <w:rsid w:val="00164A2E"/>
    <w:rsid w:val="00165857"/>
    <w:rsid w:val="00187190"/>
    <w:rsid w:val="00195C8B"/>
    <w:rsid w:val="001961A4"/>
    <w:rsid w:val="00196660"/>
    <w:rsid w:val="001A38ED"/>
    <w:rsid w:val="001B4947"/>
    <w:rsid w:val="001D2999"/>
    <w:rsid w:val="001D6117"/>
    <w:rsid w:val="001D7051"/>
    <w:rsid w:val="001E3E93"/>
    <w:rsid w:val="001E6730"/>
    <w:rsid w:val="001F1606"/>
    <w:rsid w:val="001F6AE8"/>
    <w:rsid w:val="00224F6B"/>
    <w:rsid w:val="00264775"/>
    <w:rsid w:val="00265F8B"/>
    <w:rsid w:val="00275DE8"/>
    <w:rsid w:val="002777B6"/>
    <w:rsid w:val="0028538B"/>
    <w:rsid w:val="00286258"/>
    <w:rsid w:val="002945F1"/>
    <w:rsid w:val="00297382"/>
    <w:rsid w:val="00297E4B"/>
    <w:rsid w:val="002B62F5"/>
    <w:rsid w:val="002C2B9F"/>
    <w:rsid w:val="002D1847"/>
    <w:rsid w:val="002D68D6"/>
    <w:rsid w:val="002D7A1C"/>
    <w:rsid w:val="002E6BAD"/>
    <w:rsid w:val="002F1203"/>
    <w:rsid w:val="002F31AA"/>
    <w:rsid w:val="003003AA"/>
    <w:rsid w:val="00312B1C"/>
    <w:rsid w:val="00315D51"/>
    <w:rsid w:val="00320A20"/>
    <w:rsid w:val="0032565D"/>
    <w:rsid w:val="003374E4"/>
    <w:rsid w:val="00342DA2"/>
    <w:rsid w:val="003431AF"/>
    <w:rsid w:val="00346C8A"/>
    <w:rsid w:val="003667AD"/>
    <w:rsid w:val="00370937"/>
    <w:rsid w:val="00397456"/>
    <w:rsid w:val="003B50ED"/>
    <w:rsid w:val="003C0A31"/>
    <w:rsid w:val="003C65CD"/>
    <w:rsid w:val="003E105F"/>
    <w:rsid w:val="003E26ED"/>
    <w:rsid w:val="003E3CD6"/>
    <w:rsid w:val="003E61DA"/>
    <w:rsid w:val="003F2AA1"/>
    <w:rsid w:val="003F2C19"/>
    <w:rsid w:val="003F4DFF"/>
    <w:rsid w:val="003F4F25"/>
    <w:rsid w:val="004115C9"/>
    <w:rsid w:val="00421A68"/>
    <w:rsid w:val="004221E9"/>
    <w:rsid w:val="00430928"/>
    <w:rsid w:val="00441EBD"/>
    <w:rsid w:val="00447DC8"/>
    <w:rsid w:val="00473E83"/>
    <w:rsid w:val="0047716E"/>
    <w:rsid w:val="004A7158"/>
    <w:rsid w:val="004A7335"/>
    <w:rsid w:val="004B603D"/>
    <w:rsid w:val="004B7C2F"/>
    <w:rsid w:val="004D7EA6"/>
    <w:rsid w:val="004E350F"/>
    <w:rsid w:val="004F7A6E"/>
    <w:rsid w:val="00502BB0"/>
    <w:rsid w:val="00503E98"/>
    <w:rsid w:val="005040D0"/>
    <w:rsid w:val="005132D7"/>
    <w:rsid w:val="00537475"/>
    <w:rsid w:val="005637BB"/>
    <w:rsid w:val="00565A0C"/>
    <w:rsid w:val="005749B7"/>
    <w:rsid w:val="005776F0"/>
    <w:rsid w:val="00592029"/>
    <w:rsid w:val="00592DE2"/>
    <w:rsid w:val="00594FB5"/>
    <w:rsid w:val="005A04CC"/>
    <w:rsid w:val="005A56CE"/>
    <w:rsid w:val="005A67F0"/>
    <w:rsid w:val="005B1A27"/>
    <w:rsid w:val="005B1E8A"/>
    <w:rsid w:val="005B2CD0"/>
    <w:rsid w:val="005B319B"/>
    <w:rsid w:val="005C36FD"/>
    <w:rsid w:val="005D44C4"/>
    <w:rsid w:val="005D6181"/>
    <w:rsid w:val="005D6799"/>
    <w:rsid w:val="005E5D50"/>
    <w:rsid w:val="005F4DCC"/>
    <w:rsid w:val="005F6310"/>
    <w:rsid w:val="00614500"/>
    <w:rsid w:val="00620092"/>
    <w:rsid w:val="0062792A"/>
    <w:rsid w:val="00634262"/>
    <w:rsid w:val="00641134"/>
    <w:rsid w:val="00645983"/>
    <w:rsid w:val="006541E5"/>
    <w:rsid w:val="00666DD9"/>
    <w:rsid w:val="00680054"/>
    <w:rsid w:val="00685E3D"/>
    <w:rsid w:val="00691AA8"/>
    <w:rsid w:val="00692AC4"/>
    <w:rsid w:val="00692DD1"/>
    <w:rsid w:val="006952EC"/>
    <w:rsid w:val="006973B4"/>
    <w:rsid w:val="006B3DD4"/>
    <w:rsid w:val="006C50F8"/>
    <w:rsid w:val="006C5384"/>
    <w:rsid w:val="006D1EB2"/>
    <w:rsid w:val="006E43F7"/>
    <w:rsid w:val="006E5605"/>
    <w:rsid w:val="00706B55"/>
    <w:rsid w:val="00712E1A"/>
    <w:rsid w:val="0075074F"/>
    <w:rsid w:val="00753345"/>
    <w:rsid w:val="00753F26"/>
    <w:rsid w:val="00755C7B"/>
    <w:rsid w:val="0076461C"/>
    <w:rsid w:val="00765393"/>
    <w:rsid w:val="00766D8D"/>
    <w:rsid w:val="00767D60"/>
    <w:rsid w:val="00772D51"/>
    <w:rsid w:val="007805EB"/>
    <w:rsid w:val="00780EAB"/>
    <w:rsid w:val="00784D67"/>
    <w:rsid w:val="00793572"/>
    <w:rsid w:val="007971B7"/>
    <w:rsid w:val="00797B39"/>
    <w:rsid w:val="007B0D20"/>
    <w:rsid w:val="007B12D0"/>
    <w:rsid w:val="007B326B"/>
    <w:rsid w:val="007C5E3C"/>
    <w:rsid w:val="007C73E6"/>
    <w:rsid w:val="007D0C23"/>
    <w:rsid w:val="007E5065"/>
    <w:rsid w:val="007F23D9"/>
    <w:rsid w:val="007F5365"/>
    <w:rsid w:val="008207A6"/>
    <w:rsid w:val="0082397E"/>
    <w:rsid w:val="008261A0"/>
    <w:rsid w:val="00826E6F"/>
    <w:rsid w:val="00836A12"/>
    <w:rsid w:val="0085203E"/>
    <w:rsid w:val="00853300"/>
    <w:rsid w:val="008620BC"/>
    <w:rsid w:val="008641D1"/>
    <w:rsid w:val="00883A66"/>
    <w:rsid w:val="00891760"/>
    <w:rsid w:val="008955EA"/>
    <w:rsid w:val="00895749"/>
    <w:rsid w:val="008957F7"/>
    <w:rsid w:val="00896F89"/>
    <w:rsid w:val="008B01B8"/>
    <w:rsid w:val="008B3318"/>
    <w:rsid w:val="008B5C35"/>
    <w:rsid w:val="008C77BC"/>
    <w:rsid w:val="008D5CB1"/>
    <w:rsid w:val="009173A7"/>
    <w:rsid w:val="009244A6"/>
    <w:rsid w:val="0093305F"/>
    <w:rsid w:val="00941B10"/>
    <w:rsid w:val="00944A9C"/>
    <w:rsid w:val="00946663"/>
    <w:rsid w:val="009568F1"/>
    <w:rsid w:val="00961681"/>
    <w:rsid w:val="0096311F"/>
    <w:rsid w:val="009644D4"/>
    <w:rsid w:val="009652AA"/>
    <w:rsid w:val="009815EE"/>
    <w:rsid w:val="009848F0"/>
    <w:rsid w:val="00985830"/>
    <w:rsid w:val="00985934"/>
    <w:rsid w:val="009870F9"/>
    <w:rsid w:val="009A584B"/>
    <w:rsid w:val="009A7A3B"/>
    <w:rsid w:val="009B00D7"/>
    <w:rsid w:val="009B2426"/>
    <w:rsid w:val="009B5963"/>
    <w:rsid w:val="009E374F"/>
    <w:rsid w:val="009F1015"/>
    <w:rsid w:val="009F229D"/>
    <w:rsid w:val="00A12672"/>
    <w:rsid w:val="00A150E4"/>
    <w:rsid w:val="00A16101"/>
    <w:rsid w:val="00A2204B"/>
    <w:rsid w:val="00A26A44"/>
    <w:rsid w:val="00A30FB9"/>
    <w:rsid w:val="00A3368B"/>
    <w:rsid w:val="00A377FD"/>
    <w:rsid w:val="00A37AC3"/>
    <w:rsid w:val="00A51DF0"/>
    <w:rsid w:val="00A5261D"/>
    <w:rsid w:val="00A5549A"/>
    <w:rsid w:val="00A60D00"/>
    <w:rsid w:val="00A70656"/>
    <w:rsid w:val="00A730EF"/>
    <w:rsid w:val="00A7639E"/>
    <w:rsid w:val="00A81826"/>
    <w:rsid w:val="00A924A6"/>
    <w:rsid w:val="00A93454"/>
    <w:rsid w:val="00AA73C6"/>
    <w:rsid w:val="00AC7B47"/>
    <w:rsid w:val="00AE72D3"/>
    <w:rsid w:val="00AE7779"/>
    <w:rsid w:val="00B07BF3"/>
    <w:rsid w:val="00B217F1"/>
    <w:rsid w:val="00B3394E"/>
    <w:rsid w:val="00B40E6C"/>
    <w:rsid w:val="00B42381"/>
    <w:rsid w:val="00B4656B"/>
    <w:rsid w:val="00B52A4C"/>
    <w:rsid w:val="00B607B9"/>
    <w:rsid w:val="00B6416E"/>
    <w:rsid w:val="00B7118F"/>
    <w:rsid w:val="00BA32A4"/>
    <w:rsid w:val="00BD40DA"/>
    <w:rsid w:val="00BE53AA"/>
    <w:rsid w:val="00BF5A10"/>
    <w:rsid w:val="00C00895"/>
    <w:rsid w:val="00C0387D"/>
    <w:rsid w:val="00C052C0"/>
    <w:rsid w:val="00C052EC"/>
    <w:rsid w:val="00C14319"/>
    <w:rsid w:val="00C3494E"/>
    <w:rsid w:val="00C403F4"/>
    <w:rsid w:val="00C52D9E"/>
    <w:rsid w:val="00C61A43"/>
    <w:rsid w:val="00C6442C"/>
    <w:rsid w:val="00C65101"/>
    <w:rsid w:val="00C67479"/>
    <w:rsid w:val="00C82EE1"/>
    <w:rsid w:val="00CB1528"/>
    <w:rsid w:val="00CB7182"/>
    <w:rsid w:val="00CC08D2"/>
    <w:rsid w:val="00CD1F30"/>
    <w:rsid w:val="00CD248C"/>
    <w:rsid w:val="00CD52EE"/>
    <w:rsid w:val="00CF43DA"/>
    <w:rsid w:val="00CF5A1D"/>
    <w:rsid w:val="00CF6BD2"/>
    <w:rsid w:val="00CF7B35"/>
    <w:rsid w:val="00D10236"/>
    <w:rsid w:val="00D1363F"/>
    <w:rsid w:val="00D176CA"/>
    <w:rsid w:val="00D400F0"/>
    <w:rsid w:val="00D41A68"/>
    <w:rsid w:val="00D54F71"/>
    <w:rsid w:val="00D559DB"/>
    <w:rsid w:val="00D6013C"/>
    <w:rsid w:val="00D618F8"/>
    <w:rsid w:val="00D62F3D"/>
    <w:rsid w:val="00D63803"/>
    <w:rsid w:val="00D707A8"/>
    <w:rsid w:val="00D70887"/>
    <w:rsid w:val="00D72171"/>
    <w:rsid w:val="00D82E50"/>
    <w:rsid w:val="00D876AC"/>
    <w:rsid w:val="00DA4DBA"/>
    <w:rsid w:val="00DA4EA4"/>
    <w:rsid w:val="00DC1136"/>
    <w:rsid w:val="00DC68C9"/>
    <w:rsid w:val="00DD605A"/>
    <w:rsid w:val="00DD67CE"/>
    <w:rsid w:val="00DD7B88"/>
    <w:rsid w:val="00DD7D99"/>
    <w:rsid w:val="00DF2079"/>
    <w:rsid w:val="00DF3D9D"/>
    <w:rsid w:val="00E00C1C"/>
    <w:rsid w:val="00E041CE"/>
    <w:rsid w:val="00E111A4"/>
    <w:rsid w:val="00E12939"/>
    <w:rsid w:val="00E1310B"/>
    <w:rsid w:val="00E160F9"/>
    <w:rsid w:val="00E17AC9"/>
    <w:rsid w:val="00E2124C"/>
    <w:rsid w:val="00E22472"/>
    <w:rsid w:val="00E230D9"/>
    <w:rsid w:val="00E238D9"/>
    <w:rsid w:val="00E378C0"/>
    <w:rsid w:val="00E43146"/>
    <w:rsid w:val="00E43359"/>
    <w:rsid w:val="00E454AB"/>
    <w:rsid w:val="00E50B71"/>
    <w:rsid w:val="00E56431"/>
    <w:rsid w:val="00E679E1"/>
    <w:rsid w:val="00E804EF"/>
    <w:rsid w:val="00E876A6"/>
    <w:rsid w:val="00E9446A"/>
    <w:rsid w:val="00EA15E7"/>
    <w:rsid w:val="00EB0F1B"/>
    <w:rsid w:val="00EB6E55"/>
    <w:rsid w:val="00EC4F04"/>
    <w:rsid w:val="00EC6766"/>
    <w:rsid w:val="00EE134B"/>
    <w:rsid w:val="00EE2C7B"/>
    <w:rsid w:val="00F01060"/>
    <w:rsid w:val="00F02366"/>
    <w:rsid w:val="00F11659"/>
    <w:rsid w:val="00F168F1"/>
    <w:rsid w:val="00F24929"/>
    <w:rsid w:val="00F251AC"/>
    <w:rsid w:val="00F2611C"/>
    <w:rsid w:val="00F32250"/>
    <w:rsid w:val="00F40B1D"/>
    <w:rsid w:val="00F458FD"/>
    <w:rsid w:val="00F60856"/>
    <w:rsid w:val="00F713C4"/>
    <w:rsid w:val="00F76F83"/>
    <w:rsid w:val="00F80042"/>
    <w:rsid w:val="00F94B86"/>
    <w:rsid w:val="00F9503D"/>
    <w:rsid w:val="00FC3253"/>
    <w:rsid w:val="00FC5228"/>
    <w:rsid w:val="00FD042E"/>
    <w:rsid w:val="00FD31AB"/>
    <w:rsid w:val="00FD7251"/>
    <w:rsid w:val="00FE7CC4"/>
    <w:rsid w:val="00FF27E7"/>
    <w:rsid w:val="04062E0E"/>
    <w:rsid w:val="05EE2B6E"/>
    <w:rsid w:val="07424CE5"/>
    <w:rsid w:val="0E6A46D2"/>
    <w:rsid w:val="19411027"/>
    <w:rsid w:val="1E4F5EE9"/>
    <w:rsid w:val="21D96333"/>
    <w:rsid w:val="242C3C7F"/>
    <w:rsid w:val="287A0545"/>
    <w:rsid w:val="2D65543B"/>
    <w:rsid w:val="40435681"/>
    <w:rsid w:val="46D6135B"/>
    <w:rsid w:val="471338C7"/>
    <w:rsid w:val="48B4226E"/>
    <w:rsid w:val="498B571A"/>
    <w:rsid w:val="4AE11787"/>
    <w:rsid w:val="4DF00C86"/>
    <w:rsid w:val="55A6769E"/>
    <w:rsid w:val="7AE74C0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snapToGrid w:val="0"/>
      <w:jc w:val="left"/>
    </w:pPr>
    <w:rPr>
      <w:kern w:val="0"/>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autoRedefine/>
    <w:qFormat/>
    <w:uiPriority w:val="99"/>
    <w:rPr>
      <w:rFonts w:cs="Times New Roman"/>
    </w:rPr>
  </w:style>
  <w:style w:type="character" w:customStyle="1" w:styleId="7">
    <w:name w:val="页眉 Char"/>
    <w:link w:val="3"/>
    <w:autoRedefine/>
    <w:semiHidden/>
    <w:qFormat/>
    <w:locked/>
    <w:uiPriority w:val="99"/>
    <w:rPr>
      <w:rFonts w:ascii="Times New Roman" w:hAnsi="Times New Roman" w:eastAsia="宋体" w:cs="Times New Roman"/>
      <w:sz w:val="18"/>
      <w:szCs w:val="18"/>
    </w:rPr>
  </w:style>
  <w:style w:type="character" w:customStyle="1" w:styleId="8">
    <w:name w:val="页脚 Char"/>
    <w:link w:val="2"/>
    <w:autoRedefine/>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3500</Words>
  <Characters>3649</Characters>
  <Lines>28</Lines>
  <Paragraphs>7</Paragraphs>
  <TotalTime>672</TotalTime>
  <ScaleCrop>false</ScaleCrop>
  <LinksUpToDate>false</LinksUpToDate>
  <CharactersWithSpaces>3917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2025-02-13T08:34:00Z</cp:lastPrinted>
  <dcterms:modified xsi:type="dcterms:W3CDTF">2025-12-25T07:14:05Z</dcterms:modified>
  <cp:revision>293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7D48D9E49520418BA944A06B95F90A37</vt:lpwstr>
  </property>
  <property fmtid="{D5CDD505-2E9C-101B-9397-08002B2CF9AE}" pid="4" name="KSOTemplateDocerSaveRecord">
    <vt:lpwstr>eyJoZGlkIjoiNzMzNGFhYTQwZDVjNjVmMDFlMTAxYjIwOTljNDhhZWQiLCJ1c2VySWQiOiIyMDEzOTMzNTkifQ==</vt:lpwstr>
  </property>
</Properties>
</file>