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FD0BF">
      <w:pPr>
        <w:spacing w:line="600" w:lineRule="exact"/>
        <w:rPr>
          <w:rFonts w:ascii="仿宋_GB2312" w:eastAsia="仿宋_GB2312"/>
          <w:sz w:val="32"/>
          <w:szCs w:val="32"/>
        </w:rPr>
      </w:pPr>
      <w:bookmarkStart w:id="6" w:name="_GoBack"/>
      <w:bookmarkEnd w:id="6"/>
    </w:p>
    <w:p w14:paraId="449A7798">
      <w:pPr>
        <w:widowControl/>
        <w:spacing w:line="330" w:lineRule="atLeast"/>
        <w:jc w:val="center"/>
        <w:rPr>
          <w:rFonts w:hint="eastAsia" w:ascii="方正小标宋简体" w:hAnsi="方正小标宋简体" w:eastAsia="方正小标宋简体" w:cs="方正小标宋简体"/>
          <w:b/>
          <w:bCs/>
          <w:sz w:val="44"/>
          <w:szCs w:val="44"/>
          <w:lang w:val="en-US" w:eastAsia="zh-CN"/>
        </w:rPr>
      </w:pPr>
      <w:bookmarkStart w:id="0" w:name="OLE_LINK3"/>
      <w:r>
        <w:rPr>
          <w:rFonts w:hint="eastAsia" w:ascii="方正小标宋简体" w:hAnsi="方正小标宋简体" w:eastAsia="方正小标宋简体" w:cs="方正小标宋简体"/>
          <w:b/>
          <w:bCs/>
          <w:sz w:val="44"/>
          <w:szCs w:val="44"/>
        </w:rPr>
        <w:t>大连高新技术产业园区</w:t>
      </w:r>
      <w:r>
        <w:rPr>
          <w:rFonts w:hint="eastAsia" w:ascii="方正小标宋简体" w:hAnsi="方正小标宋简体" w:eastAsia="方正小标宋简体" w:cs="方正小标宋简体"/>
          <w:b/>
          <w:bCs/>
          <w:sz w:val="44"/>
          <w:szCs w:val="44"/>
          <w:lang w:val="en-US" w:eastAsia="zh-CN"/>
        </w:rPr>
        <w:t>科技创新局</w:t>
      </w:r>
    </w:p>
    <w:p w14:paraId="414F7CD5">
      <w:pPr>
        <w:widowControl/>
        <w:spacing w:line="33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24</w:t>
      </w:r>
      <w:r>
        <w:rPr>
          <w:rFonts w:hint="eastAsia" w:ascii="方正小标宋简体" w:hAnsi="方正小标宋简体" w:eastAsia="方正小标宋简体" w:cs="方正小标宋简体"/>
          <w:b/>
          <w:bCs/>
          <w:color w:val="000000"/>
          <w:kern w:val="0"/>
          <w:sz w:val="44"/>
          <w:szCs w:val="44"/>
        </w:rPr>
        <w:t>年部门预算</w:t>
      </w:r>
    </w:p>
    <w:bookmarkEnd w:id="0"/>
    <w:p w14:paraId="3F90993C">
      <w:pPr>
        <w:widowControl/>
        <w:spacing w:line="330" w:lineRule="atLeast"/>
        <w:ind w:firstLine="643" w:firstLineChars="200"/>
        <w:jc w:val="left"/>
        <w:rPr>
          <w:rFonts w:ascii="仿宋" w:hAnsi="仿宋" w:eastAsia="仿宋"/>
          <w:b/>
          <w:bCs/>
          <w:sz w:val="32"/>
          <w:szCs w:val="32"/>
        </w:rPr>
      </w:pPr>
      <w:r>
        <w:rPr>
          <w:rFonts w:ascii="仿宋" w:hAnsi="仿宋" w:eastAsia="仿宋" w:cs="仿宋"/>
          <w:b/>
          <w:bCs/>
          <w:sz w:val="32"/>
          <w:szCs w:val="32"/>
        </w:rPr>
        <w:t xml:space="preserve">                                                                                                                                                                                                                                  </w:t>
      </w:r>
    </w:p>
    <w:p w14:paraId="48C436FB">
      <w:pPr>
        <w:widowControl/>
        <w:spacing w:line="330" w:lineRule="atLeast"/>
        <w:ind w:firstLine="643" w:firstLineChars="200"/>
        <w:jc w:val="left"/>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第一部分 部门概况</w:t>
      </w:r>
    </w:p>
    <w:p w14:paraId="150EC07C">
      <w:pPr>
        <w:widowControl/>
        <w:spacing w:line="330" w:lineRule="atLeast"/>
        <w:ind w:firstLine="640" w:firstLineChars="200"/>
        <w:jc w:val="left"/>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一、主要职责：</w:t>
      </w:r>
    </w:p>
    <w:p w14:paraId="5BB2BB9E">
      <w:pPr>
        <w:spacing w:line="580" w:lineRule="exact"/>
        <w:ind w:firstLine="627" w:firstLineChars="196"/>
        <w:rPr>
          <w:rFonts w:ascii="仿宋" w:hAnsi="仿宋" w:eastAsia="仿宋"/>
          <w:sz w:val="32"/>
          <w:szCs w:val="32"/>
        </w:rPr>
      </w:pPr>
      <w:r>
        <w:rPr>
          <w:rFonts w:hint="eastAsia" w:ascii="仿宋" w:hAnsi="仿宋" w:eastAsia="仿宋"/>
          <w:sz w:val="32"/>
          <w:szCs w:val="32"/>
        </w:rPr>
        <w:t>（一）负责编制全区科技发展规划，拟定科技发展重点布局，推动科技创新体系建设和国家自主创新示范区建设，提高区域科技创新能力。</w:t>
      </w:r>
    </w:p>
    <w:p w14:paraId="48A2FD04">
      <w:pPr>
        <w:spacing w:line="580" w:lineRule="exact"/>
        <w:ind w:firstLine="627" w:firstLineChars="196"/>
        <w:rPr>
          <w:rFonts w:ascii="仿宋" w:hAnsi="仿宋" w:eastAsia="仿宋"/>
          <w:sz w:val="32"/>
          <w:szCs w:val="32"/>
        </w:rPr>
      </w:pPr>
      <w:r>
        <w:rPr>
          <w:rFonts w:hint="eastAsia" w:ascii="仿宋" w:hAnsi="仿宋" w:eastAsia="仿宋"/>
          <w:sz w:val="32"/>
          <w:szCs w:val="32"/>
        </w:rPr>
        <w:t>（二）负责拟定全区重点企业培育计划，建立培育机制，协调落实培育措施，推进重点企业培育工作。负责研究、制定推进高新技术企业、技术先进型企业发展的政策、措施并落实；负责高新技术企业、技术先进型企业推荐申报及管理工作。</w:t>
      </w:r>
    </w:p>
    <w:p w14:paraId="7396D6F7">
      <w:pPr>
        <w:spacing w:line="580" w:lineRule="exact"/>
        <w:ind w:firstLine="627" w:firstLineChars="196"/>
        <w:rPr>
          <w:rFonts w:ascii="仿宋" w:hAnsi="仿宋" w:eastAsia="仿宋"/>
          <w:sz w:val="32"/>
          <w:szCs w:val="32"/>
        </w:rPr>
      </w:pPr>
      <w:r>
        <w:rPr>
          <w:rFonts w:hint="eastAsia" w:ascii="仿宋" w:hAnsi="仿宋" w:eastAsia="仿宋"/>
          <w:sz w:val="32"/>
          <w:szCs w:val="32"/>
        </w:rPr>
        <w:t>（三）指导全区产业技术创新，负责指导全区产业园区与产业基地、公共技术服务平台、产业联盟与行业组织的建设。</w:t>
      </w:r>
    </w:p>
    <w:p w14:paraId="7A40AE29">
      <w:pPr>
        <w:spacing w:line="580" w:lineRule="exact"/>
        <w:ind w:firstLine="627" w:firstLineChars="196"/>
        <w:rPr>
          <w:rFonts w:ascii="仿宋" w:hAnsi="仿宋" w:eastAsia="仿宋"/>
          <w:sz w:val="32"/>
          <w:szCs w:val="32"/>
        </w:rPr>
      </w:pPr>
      <w:r>
        <w:rPr>
          <w:rFonts w:hint="eastAsia" w:ascii="仿宋" w:hAnsi="仿宋" w:eastAsia="仿宋"/>
          <w:sz w:val="32"/>
          <w:szCs w:val="32"/>
        </w:rPr>
        <w:t>（四）负责全区科技成果转移转化体系建设，研究、制定促进科技成果转化的政策措施。</w:t>
      </w:r>
    </w:p>
    <w:p w14:paraId="257A9074">
      <w:pPr>
        <w:spacing w:line="580" w:lineRule="exact"/>
        <w:ind w:firstLine="627" w:firstLineChars="196"/>
        <w:rPr>
          <w:rFonts w:ascii="仿宋" w:hAnsi="仿宋" w:eastAsia="仿宋"/>
          <w:sz w:val="32"/>
          <w:szCs w:val="32"/>
        </w:rPr>
      </w:pPr>
      <w:r>
        <w:rPr>
          <w:rFonts w:hint="eastAsia" w:ascii="仿宋" w:hAnsi="仿宋" w:eastAsia="仿宋"/>
          <w:sz w:val="32"/>
          <w:szCs w:val="32"/>
        </w:rPr>
        <w:t>（五）负责国家、省、市科技成果转移转化相关政策的跟踪落实。负责高新区“科创工程”等促进科技成果转化相关政策的落地实施。</w:t>
      </w:r>
    </w:p>
    <w:p w14:paraId="069182B6">
      <w:pPr>
        <w:spacing w:line="580" w:lineRule="exact"/>
        <w:ind w:firstLine="627" w:firstLineChars="196"/>
        <w:rPr>
          <w:rFonts w:ascii="仿宋" w:hAnsi="仿宋" w:eastAsia="仿宋"/>
          <w:sz w:val="32"/>
          <w:szCs w:val="32"/>
        </w:rPr>
      </w:pPr>
      <w:r>
        <w:rPr>
          <w:rFonts w:hint="eastAsia" w:ascii="仿宋" w:hAnsi="仿宋" w:eastAsia="仿宋"/>
          <w:sz w:val="32"/>
          <w:szCs w:val="32"/>
        </w:rPr>
        <w:t>（六）负责按照全区“区校一体化”战略框架，联系推进区校（院所）科技合作，促进高校和科研院所的科技成果转化。</w:t>
      </w:r>
    </w:p>
    <w:p w14:paraId="0AC5FE0C">
      <w:pPr>
        <w:spacing w:line="580" w:lineRule="exact"/>
        <w:ind w:firstLine="627" w:firstLineChars="196"/>
        <w:rPr>
          <w:rFonts w:ascii="仿宋" w:hAnsi="仿宋" w:eastAsia="仿宋"/>
          <w:sz w:val="32"/>
          <w:szCs w:val="32"/>
        </w:rPr>
      </w:pPr>
      <w:r>
        <w:rPr>
          <w:rFonts w:hint="eastAsia" w:ascii="仿宋" w:hAnsi="仿宋" w:eastAsia="仿宋"/>
          <w:sz w:val="32"/>
          <w:szCs w:val="32"/>
        </w:rPr>
        <w:t>（七）负责协调全区重点产学研合作示范项目及重大成果转化活动的落地实施。负责全区科技成果转化、技术转移示范机构的培育和管理，以及技术转移转化平台建设。</w:t>
      </w:r>
    </w:p>
    <w:p w14:paraId="7CB03037">
      <w:pPr>
        <w:spacing w:line="580" w:lineRule="exact"/>
        <w:ind w:firstLine="627" w:firstLineChars="196"/>
        <w:rPr>
          <w:rFonts w:ascii="仿宋" w:hAnsi="仿宋" w:eastAsia="仿宋"/>
          <w:sz w:val="32"/>
          <w:szCs w:val="32"/>
        </w:rPr>
      </w:pPr>
      <w:r>
        <w:rPr>
          <w:rFonts w:hint="eastAsia" w:ascii="仿宋" w:hAnsi="仿宋" w:eastAsia="仿宋"/>
          <w:sz w:val="32"/>
          <w:szCs w:val="32"/>
        </w:rPr>
        <w:t>（八）负责国家、省、市各类科技计划、科技人才计划组织申报推荐工作；负责重大科技平台建设工作；负责科学技术奖励申报推荐工作；负责培育并扶持全区重点高科技项目。</w:t>
      </w:r>
    </w:p>
    <w:p w14:paraId="73341CDC">
      <w:pPr>
        <w:spacing w:line="580" w:lineRule="exact"/>
        <w:ind w:firstLine="627" w:firstLineChars="196"/>
        <w:rPr>
          <w:rFonts w:ascii="仿宋" w:hAnsi="仿宋" w:eastAsia="仿宋"/>
          <w:sz w:val="32"/>
          <w:szCs w:val="32"/>
        </w:rPr>
      </w:pPr>
      <w:r>
        <w:rPr>
          <w:rFonts w:hint="eastAsia" w:ascii="仿宋" w:hAnsi="仿宋" w:eastAsia="仿宋"/>
          <w:sz w:val="32"/>
          <w:szCs w:val="32"/>
        </w:rPr>
        <w:t>（九）负责各类技术研发机构的建设、管理和推进工作；负责研究、制定推进科技创新创业的政策并落实；负责研究、制定推进科技创新劵的政策并落实。</w:t>
      </w:r>
    </w:p>
    <w:p w14:paraId="133535AB">
      <w:pPr>
        <w:spacing w:line="580" w:lineRule="exact"/>
        <w:ind w:firstLine="627" w:firstLineChars="196"/>
        <w:rPr>
          <w:rFonts w:ascii="仿宋" w:hAnsi="仿宋" w:eastAsia="仿宋"/>
          <w:sz w:val="32"/>
          <w:szCs w:val="32"/>
        </w:rPr>
      </w:pPr>
      <w:r>
        <w:rPr>
          <w:rFonts w:hint="eastAsia" w:ascii="仿宋" w:hAnsi="仿宋" w:eastAsia="仿宋"/>
          <w:sz w:val="32"/>
          <w:szCs w:val="32"/>
        </w:rPr>
        <w:t>（十）负责研究、制定推动企业研发经费投入持续增长的政策、措施并落实；负责技术合同登记管理工作；负责科技中介服务机构服务科技型企业创新发展的引导、推进及实施工作。</w:t>
      </w:r>
    </w:p>
    <w:p w14:paraId="1572B443">
      <w:pPr>
        <w:spacing w:line="580" w:lineRule="exact"/>
        <w:ind w:firstLine="627" w:firstLineChars="196"/>
        <w:rPr>
          <w:rFonts w:ascii="仿宋" w:hAnsi="仿宋" w:eastAsia="仿宋"/>
          <w:sz w:val="32"/>
          <w:szCs w:val="32"/>
        </w:rPr>
      </w:pPr>
      <w:r>
        <w:rPr>
          <w:rFonts w:hint="eastAsia" w:ascii="仿宋" w:hAnsi="仿宋" w:eastAsia="仿宋"/>
          <w:sz w:val="32"/>
          <w:szCs w:val="32"/>
        </w:rPr>
        <w:t>（十一）负责研究、制定引进国外智力规划、国外人才和智力项目的政策措施并落实；负责来区外国人员管理和服务工作；负责国家、省、市各级引智项目的申报推荐和管理工作；负责推进国际科技合作和科技人才交流工作。</w:t>
      </w:r>
    </w:p>
    <w:p w14:paraId="758ACA97">
      <w:pPr>
        <w:spacing w:line="580" w:lineRule="exact"/>
        <w:ind w:firstLine="640" w:firstLineChars="200"/>
        <w:rPr>
          <w:rFonts w:ascii="仿宋" w:hAnsi="仿宋" w:eastAsia="仿宋"/>
          <w:sz w:val="32"/>
          <w:szCs w:val="32"/>
        </w:rPr>
      </w:pPr>
      <w:r>
        <w:rPr>
          <w:rFonts w:hint="eastAsia" w:ascii="仿宋" w:hAnsi="仿宋" w:eastAsia="仿宋"/>
          <w:sz w:val="32"/>
          <w:szCs w:val="32"/>
        </w:rPr>
        <w:t>（十二）负责拟订和组织实施全区知识产权事业发展规划。组织拟订加强知识产权强区建设的政策和发展规划，组织拟订全区经济、科技、文化等领域知识产权工作的政策制度，指导全区知识产权发展工作。统筹协调全区知识产权涉外工作，负责知识产权对外联络与合作交流。</w:t>
      </w:r>
    </w:p>
    <w:p w14:paraId="23342A51">
      <w:pPr>
        <w:spacing w:line="580" w:lineRule="exact"/>
        <w:ind w:firstLine="640" w:firstLineChars="200"/>
        <w:rPr>
          <w:rFonts w:ascii="仿宋" w:hAnsi="仿宋" w:eastAsia="仿宋"/>
          <w:sz w:val="32"/>
          <w:szCs w:val="32"/>
        </w:rPr>
      </w:pPr>
      <w:r>
        <w:rPr>
          <w:rFonts w:hint="eastAsia" w:ascii="仿宋" w:hAnsi="仿宋" w:eastAsia="仿宋"/>
          <w:sz w:val="32"/>
          <w:szCs w:val="32"/>
        </w:rPr>
        <w:t>（十三）负责承接市科协的相关工作。</w:t>
      </w:r>
      <w:r>
        <w:rPr>
          <w:rFonts w:hint="eastAsia" w:ascii="仿宋" w:hAnsi="仿宋" w:eastAsia="仿宋" w:cs="仿宋"/>
          <w:sz w:val="32"/>
          <w:szCs w:val="32"/>
        </w:rPr>
        <w:t>密切联系科技工作者，开展学术交流，活跃学术思想，倡导学术民主，优化学术环境，促进学科发展，服务我市创新体系建设。促进科学道德建设和学风建设，宣传优秀科技工作者事迹，培育科学文化，践行社会主义核心价值观等相关工作。</w:t>
      </w:r>
    </w:p>
    <w:p w14:paraId="41DCFE47">
      <w:pPr>
        <w:spacing w:line="580" w:lineRule="exact"/>
        <w:ind w:firstLine="627" w:firstLineChars="196"/>
        <w:rPr>
          <w:rFonts w:ascii="仿宋" w:hAnsi="仿宋" w:eastAsia="仿宋"/>
          <w:sz w:val="32"/>
          <w:szCs w:val="32"/>
        </w:rPr>
      </w:pPr>
      <w:r>
        <w:rPr>
          <w:rFonts w:hint="eastAsia" w:ascii="仿宋" w:hAnsi="仿宋" w:eastAsia="仿宋"/>
          <w:sz w:val="32"/>
          <w:szCs w:val="32"/>
        </w:rPr>
        <w:t>（十四）完成区党工委、管委会交办的其他工作。</w:t>
      </w:r>
    </w:p>
    <w:p w14:paraId="0AF5C5C7">
      <w:pPr>
        <w:widowControl/>
        <w:spacing w:line="330" w:lineRule="atLeas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二、部门预算单位构成</w:t>
      </w:r>
    </w:p>
    <w:p w14:paraId="63CC2562">
      <w:pPr>
        <w:widowControl/>
        <w:spacing w:line="330" w:lineRule="atLeast"/>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按照综合预算的原则，本部门所有收入和支出均纳入部门预算管理，</w:t>
      </w:r>
      <w:r>
        <w:rPr>
          <w:rFonts w:hint="eastAsia" w:ascii="仿宋" w:hAnsi="仿宋" w:eastAsia="仿宋" w:cs="仿宋"/>
          <w:color w:val="000000"/>
          <w:kern w:val="0"/>
          <w:sz w:val="32"/>
          <w:szCs w:val="32"/>
          <w:highlight w:val="none"/>
          <w:lang w:val="en-US" w:eastAsia="zh-CN"/>
        </w:rPr>
        <w:t>本部门中，行政单位1家，事业单位1家，分别为大连高新技术产业园区科技创新局（本级）、大连高新技术产业园区科技发展服务中心</w:t>
      </w:r>
      <w:r>
        <w:rPr>
          <w:rFonts w:hint="eastAsia" w:ascii="仿宋" w:hAnsi="仿宋" w:eastAsia="仿宋" w:cs="仿宋"/>
          <w:color w:val="000000"/>
          <w:kern w:val="0"/>
          <w:sz w:val="32"/>
          <w:szCs w:val="32"/>
          <w:highlight w:val="none"/>
        </w:rPr>
        <w:t>。</w:t>
      </w:r>
    </w:p>
    <w:p w14:paraId="44D99DFC">
      <w:pPr>
        <w:widowControl/>
        <w:spacing w:line="330" w:lineRule="atLeast"/>
        <w:ind w:firstLine="643" w:firstLineChars="200"/>
        <w:jc w:val="left"/>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第二部分 部门预算情况说明</w:t>
      </w:r>
    </w:p>
    <w:p w14:paraId="7511EA3E">
      <w:pPr>
        <w:widowControl/>
        <w:spacing w:line="330" w:lineRule="atLeast"/>
        <w:ind w:firstLine="640" w:firstLineChars="200"/>
        <w:jc w:val="left"/>
        <w:rPr>
          <w:rFonts w:hint="eastAsia" w:ascii="黑体" w:hAnsi="黑体" w:eastAsia="黑体" w:cs="黑体"/>
          <w:color w:val="000000"/>
          <w:sz w:val="32"/>
          <w:szCs w:val="32"/>
          <w:highlight w:val="none"/>
        </w:rPr>
      </w:pPr>
      <w:r>
        <w:rPr>
          <w:rFonts w:hint="eastAsia" w:ascii="黑体" w:hAnsi="黑体" w:eastAsia="黑体" w:cs="黑体"/>
          <w:color w:val="000000"/>
          <w:kern w:val="0"/>
          <w:sz w:val="32"/>
          <w:szCs w:val="32"/>
          <w:highlight w:val="none"/>
        </w:rPr>
        <w:t>一、总体说明</w:t>
      </w:r>
    </w:p>
    <w:p w14:paraId="144EE069">
      <w:pPr>
        <w:widowControl/>
        <w:spacing w:line="330" w:lineRule="atLeast"/>
        <w:ind w:firstLine="640" w:firstLineChars="200"/>
        <w:jc w:val="left"/>
        <w:rPr>
          <w:rFonts w:hint="eastAsia" w:ascii="仿宋" w:hAnsi="仿宋" w:eastAsia="仿宋" w:cs="仿宋"/>
          <w:color w:val="000000"/>
          <w:kern w:val="0"/>
          <w:sz w:val="32"/>
          <w:szCs w:val="32"/>
          <w:highlight w:val="none"/>
        </w:rPr>
      </w:pPr>
      <w:bookmarkStart w:id="1" w:name="OLE_LINK2"/>
      <w:r>
        <w:rPr>
          <w:rFonts w:hint="eastAsia" w:ascii="仿宋" w:hAnsi="仿宋" w:eastAsia="仿宋" w:cs="仿宋"/>
          <w:color w:val="000000"/>
          <w:kern w:val="0"/>
          <w:sz w:val="32"/>
          <w:szCs w:val="32"/>
          <w:highlight w:val="none"/>
        </w:rPr>
        <w:t>按照综合预算的原则，本部门所有收入和支出均纳入部门预算管理。</w:t>
      </w:r>
      <w:bookmarkEnd w:id="1"/>
      <w:r>
        <w:rPr>
          <w:rFonts w:hint="eastAsia" w:ascii="仿宋" w:hAnsi="仿宋" w:eastAsia="仿宋" w:cs="仿宋"/>
          <w:color w:val="000000"/>
          <w:kern w:val="0"/>
          <w:sz w:val="32"/>
          <w:szCs w:val="32"/>
          <w:highlight w:val="none"/>
        </w:rPr>
        <w:t>收入包括：</w:t>
      </w:r>
      <w:r>
        <w:rPr>
          <w:rFonts w:hint="eastAsia" w:ascii="仿宋" w:hAnsi="仿宋" w:eastAsia="仿宋" w:cs="仿宋"/>
          <w:color w:val="000000"/>
          <w:kern w:val="0"/>
          <w:sz w:val="32"/>
          <w:szCs w:val="32"/>
        </w:rPr>
        <w:t>收入预算</w:t>
      </w:r>
      <w:bookmarkStart w:id="2" w:name="OLE_LINK1"/>
      <w:r>
        <w:rPr>
          <w:rFonts w:hint="eastAsia" w:ascii="仿宋_GB2312" w:eastAsia="仿宋_GB2312"/>
          <w:sz w:val="32"/>
          <w:szCs w:val="32"/>
          <w:lang w:val="en-US" w:eastAsia="zh-CN"/>
        </w:rPr>
        <w:t>21926.34</w:t>
      </w:r>
      <w:bookmarkEnd w:id="2"/>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一般公共预算拨款收入</w:t>
      </w:r>
      <w:r>
        <w:rPr>
          <w:rFonts w:hint="eastAsia" w:ascii="仿宋_GB2312" w:eastAsia="仿宋_GB2312"/>
          <w:sz w:val="32"/>
          <w:szCs w:val="32"/>
          <w:lang w:val="en-US" w:eastAsia="zh-CN"/>
        </w:rPr>
        <w:t>21926.34</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rPr>
        <w:t>上年结转结余</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sz w:val="32"/>
          <w:szCs w:val="32"/>
          <w:lang w:val="en-US" w:eastAsia="zh-CN"/>
        </w:rPr>
        <w:t>0元</w:t>
      </w:r>
      <w:r>
        <w:rPr>
          <w:rFonts w:hint="eastAsia" w:ascii="仿宋" w:hAnsi="仿宋" w:eastAsia="仿宋" w:cs="仿宋"/>
          <w:color w:val="000000"/>
          <w:kern w:val="0"/>
          <w:sz w:val="32"/>
          <w:szCs w:val="32"/>
          <w:highlight w:val="none"/>
        </w:rPr>
        <w:t>；支出包括：</w:t>
      </w:r>
      <w:bookmarkStart w:id="3" w:name="OLE_LINK102"/>
      <w:bookmarkStart w:id="4" w:name="OLE_LINK101"/>
      <w:r>
        <w:rPr>
          <w:rFonts w:hint="eastAsia" w:ascii="仿宋" w:hAnsi="仿宋" w:eastAsia="仿宋" w:cs="仿宋"/>
          <w:color w:val="000000"/>
          <w:kern w:val="0"/>
          <w:sz w:val="32"/>
          <w:szCs w:val="32"/>
          <w:highlight w:val="none"/>
        </w:rPr>
        <w:t>工资福利和对个人家庭补助支出</w:t>
      </w:r>
      <w:r>
        <w:rPr>
          <w:rFonts w:hint="eastAsia" w:ascii="仿宋" w:hAnsi="仿宋" w:eastAsia="仿宋" w:cs="仿宋"/>
          <w:color w:val="000000"/>
          <w:kern w:val="0"/>
          <w:sz w:val="32"/>
          <w:szCs w:val="32"/>
          <w:highlight w:val="none"/>
          <w:lang w:val="en-US" w:eastAsia="zh-CN"/>
        </w:rPr>
        <w:t>895.21</w:t>
      </w:r>
      <w:r>
        <w:rPr>
          <w:rFonts w:hint="eastAsia" w:ascii="仿宋" w:hAnsi="仿宋" w:eastAsia="仿宋" w:cs="仿宋"/>
          <w:color w:val="000000"/>
          <w:kern w:val="0"/>
          <w:sz w:val="32"/>
          <w:szCs w:val="32"/>
          <w:highlight w:val="none"/>
        </w:rPr>
        <w:t>万元</w:t>
      </w:r>
      <w:bookmarkEnd w:id="3"/>
      <w:bookmarkEnd w:id="4"/>
      <w:r>
        <w:rPr>
          <w:rFonts w:hint="eastAsia" w:ascii="仿宋" w:hAnsi="仿宋" w:eastAsia="仿宋" w:cs="仿宋"/>
          <w:color w:val="000000"/>
          <w:kern w:val="0"/>
          <w:sz w:val="32"/>
          <w:szCs w:val="32"/>
          <w:highlight w:val="none"/>
        </w:rPr>
        <w:t>，商品和服务支出</w:t>
      </w:r>
      <w:r>
        <w:rPr>
          <w:rFonts w:hint="eastAsia" w:ascii="仿宋" w:hAnsi="仿宋" w:eastAsia="仿宋" w:cs="仿宋"/>
          <w:color w:val="000000"/>
          <w:kern w:val="0"/>
          <w:sz w:val="32"/>
          <w:szCs w:val="32"/>
          <w:highlight w:val="none"/>
          <w:lang w:val="en-US" w:eastAsia="zh-CN"/>
        </w:rPr>
        <w:t>267.13万元，对企业补助20764万元，其中项目支出</w:t>
      </w:r>
      <w:r>
        <w:rPr>
          <w:rFonts w:hint="eastAsia" w:ascii="仿宋" w:hAnsi="仿宋" w:eastAsia="仿宋" w:cs="仿宋"/>
          <w:sz w:val="32"/>
          <w:szCs w:val="32"/>
          <w:highlight w:val="none"/>
          <w:lang w:val="en-US" w:eastAsia="zh-CN"/>
        </w:rPr>
        <w:t>21005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28</w:t>
      </w:r>
      <w:r>
        <w:rPr>
          <w:rFonts w:hint="eastAsia" w:ascii="仿宋" w:hAnsi="仿宋" w:eastAsia="仿宋" w:cs="仿宋"/>
          <w:color w:val="000000"/>
          <w:kern w:val="0"/>
          <w:sz w:val="32"/>
          <w:szCs w:val="32"/>
          <w:highlight w:val="none"/>
          <w:lang w:val="en-US" w:eastAsia="zh-CN"/>
        </w:rPr>
        <w:t>万元</w:t>
      </w:r>
      <w:r>
        <w:rPr>
          <w:rFonts w:hint="eastAsia" w:ascii="仿宋" w:hAnsi="仿宋" w:eastAsia="仿宋" w:cs="仿宋"/>
          <w:color w:val="000000"/>
          <w:kern w:val="0"/>
          <w:sz w:val="32"/>
          <w:szCs w:val="32"/>
          <w:highlight w:val="none"/>
        </w:rPr>
        <w:t>。全部为一般公共预算收支，无政府性基金预算收支，无国有资本经营预算收支。比202</w:t>
      </w:r>
      <w:r>
        <w:rPr>
          <w:rFonts w:hint="eastAsia" w:ascii="仿宋" w:hAnsi="仿宋" w:eastAsia="仿宋" w:cs="仿宋"/>
          <w:color w:val="000000"/>
          <w:kern w:val="0"/>
          <w:sz w:val="32"/>
          <w:szCs w:val="32"/>
          <w:highlight w:val="none"/>
          <w:lang w:val="en-US" w:eastAsia="zh-CN"/>
        </w:rPr>
        <w:t>3</w:t>
      </w:r>
      <w:r>
        <w:rPr>
          <w:rFonts w:hint="eastAsia" w:ascii="仿宋" w:hAnsi="仿宋" w:eastAsia="仿宋" w:cs="仿宋"/>
          <w:color w:val="000000"/>
          <w:kern w:val="0"/>
          <w:sz w:val="32"/>
          <w:szCs w:val="32"/>
          <w:highlight w:val="none"/>
        </w:rPr>
        <w:t>年预算数</w:t>
      </w:r>
      <w:r>
        <w:rPr>
          <w:rFonts w:hint="eastAsia" w:ascii="仿宋" w:hAnsi="仿宋" w:eastAsia="仿宋" w:cs="仿宋"/>
          <w:color w:val="000000"/>
          <w:kern w:val="0"/>
          <w:sz w:val="32"/>
          <w:szCs w:val="32"/>
          <w:highlight w:val="none"/>
          <w:lang w:eastAsia="zh-CN"/>
        </w:rPr>
        <w:t>增加</w:t>
      </w:r>
      <w:r>
        <w:rPr>
          <w:rFonts w:hint="eastAsia" w:ascii="仿宋" w:hAnsi="仿宋" w:eastAsia="仿宋" w:cs="仿宋"/>
          <w:color w:val="000000"/>
          <w:kern w:val="0"/>
          <w:sz w:val="32"/>
          <w:szCs w:val="32"/>
          <w:highlight w:val="none"/>
          <w:lang w:val="en-US" w:eastAsia="zh-CN"/>
        </w:rPr>
        <w:t>18960.9</w:t>
      </w:r>
      <w:r>
        <w:rPr>
          <w:rFonts w:hint="eastAsia" w:ascii="仿宋" w:hAnsi="仿宋" w:eastAsia="仿宋" w:cs="仿宋"/>
          <w:color w:val="000000"/>
          <w:kern w:val="0"/>
          <w:sz w:val="32"/>
          <w:szCs w:val="32"/>
          <w:highlight w:val="none"/>
        </w:rPr>
        <w:t>万元，其中工资福利和对个人家庭补助支出</w:t>
      </w:r>
      <w:r>
        <w:rPr>
          <w:rFonts w:hint="eastAsia" w:ascii="仿宋" w:hAnsi="仿宋" w:eastAsia="仿宋" w:cs="仿宋"/>
          <w:color w:val="000000"/>
          <w:kern w:val="0"/>
          <w:sz w:val="32"/>
          <w:szCs w:val="32"/>
          <w:highlight w:val="none"/>
          <w:lang w:val="en-US" w:eastAsia="zh-CN"/>
        </w:rPr>
        <w:t>增加42.2</w:t>
      </w:r>
      <w:r>
        <w:rPr>
          <w:rFonts w:hint="eastAsia" w:ascii="仿宋" w:hAnsi="仿宋" w:eastAsia="仿宋" w:cs="仿宋"/>
          <w:color w:val="000000"/>
          <w:kern w:val="0"/>
          <w:sz w:val="32"/>
          <w:szCs w:val="32"/>
          <w:highlight w:val="none"/>
        </w:rPr>
        <w:t>万元，商品和服务支出</w:t>
      </w:r>
      <w:r>
        <w:rPr>
          <w:rFonts w:hint="eastAsia" w:ascii="仿宋" w:hAnsi="仿宋" w:eastAsia="仿宋" w:cs="仿宋"/>
          <w:color w:val="000000"/>
          <w:kern w:val="0"/>
          <w:sz w:val="32"/>
          <w:szCs w:val="32"/>
          <w:highlight w:val="none"/>
          <w:lang w:val="en-US" w:eastAsia="zh-CN"/>
        </w:rPr>
        <w:t>减少205.6</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lang w:val="en-US" w:eastAsia="zh-CN"/>
        </w:rPr>
        <w:t>对企业补助增加19124.3万元</w:t>
      </w:r>
      <w:r>
        <w:rPr>
          <w:rFonts w:hint="eastAsia" w:ascii="仿宋" w:hAnsi="仿宋" w:eastAsia="仿宋" w:cs="仿宋"/>
          <w:color w:val="000000"/>
          <w:kern w:val="0"/>
          <w:sz w:val="32"/>
          <w:szCs w:val="32"/>
          <w:highlight w:val="none"/>
        </w:rPr>
        <w:t>。</w:t>
      </w:r>
    </w:p>
    <w:p w14:paraId="1F9D9EE4">
      <w:pPr>
        <w:widowControl/>
        <w:spacing w:line="330" w:lineRule="atLeas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kern w:val="0"/>
          <w:sz w:val="32"/>
          <w:szCs w:val="32"/>
        </w:rPr>
        <w:t>二、“三公”经费预算情况说明</w:t>
      </w:r>
    </w:p>
    <w:p w14:paraId="7909611E">
      <w:p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rPr>
        <w:t>无“三公”经费支出。</w:t>
      </w:r>
      <w:r>
        <w:rPr>
          <w:rFonts w:hint="eastAsia" w:ascii="仿宋" w:hAnsi="仿宋" w:eastAsia="仿宋" w:cs="仿宋"/>
          <w:color w:val="000000"/>
          <w:kern w:val="0"/>
          <w:sz w:val="32"/>
          <w:szCs w:val="32"/>
        </w:rPr>
        <w:t>主要是按照中央及市委、市政府关于厉行节约、改进工作作风、密切联系群众</w:t>
      </w:r>
      <w:r>
        <w:rPr>
          <w:rFonts w:hint="eastAsia" w:ascii="仿宋" w:hAnsi="仿宋" w:eastAsia="仿宋" w:cs="仿宋"/>
          <w:color w:val="000000"/>
          <w:kern w:val="0"/>
          <w:sz w:val="32"/>
          <w:szCs w:val="32"/>
          <w:lang w:eastAsia="zh-CN"/>
        </w:rPr>
        <w:t>中央八项规定</w:t>
      </w:r>
      <w:r>
        <w:rPr>
          <w:rFonts w:hint="eastAsia" w:ascii="仿宋" w:hAnsi="仿宋" w:eastAsia="仿宋" w:cs="仿宋"/>
          <w:color w:val="000000"/>
          <w:kern w:val="0"/>
          <w:sz w:val="32"/>
          <w:szCs w:val="32"/>
        </w:rPr>
        <w:t>等有关要求，严格控制“三公”经费支出。</w:t>
      </w:r>
    </w:p>
    <w:p w14:paraId="28A3A093">
      <w:pPr>
        <w:widowControl/>
        <w:spacing w:line="330" w:lineRule="atLeas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kern w:val="0"/>
          <w:sz w:val="32"/>
          <w:szCs w:val="32"/>
        </w:rPr>
        <w:t>三、机关运行经费安排情况说明</w:t>
      </w:r>
    </w:p>
    <w:p w14:paraId="1FE47740">
      <w:pPr>
        <w:spacing w:line="60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rPr>
        <w:t>机关运行经费包括定额公用经费</w:t>
      </w:r>
      <w:r>
        <w:rPr>
          <w:rFonts w:hint="eastAsia" w:ascii="仿宋" w:hAnsi="仿宋" w:eastAsia="仿宋" w:cs="仿宋"/>
          <w:color w:val="000000"/>
          <w:kern w:val="0"/>
          <w:sz w:val="32"/>
          <w:szCs w:val="32"/>
          <w:highlight w:val="none"/>
          <w:lang w:val="en-US" w:eastAsia="zh-CN"/>
        </w:rPr>
        <w:t>25.85万元。</w:t>
      </w:r>
    </w:p>
    <w:p w14:paraId="5AA883D2">
      <w:pPr>
        <w:widowControl/>
        <w:spacing w:line="330" w:lineRule="atLeas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kern w:val="0"/>
          <w:sz w:val="32"/>
          <w:szCs w:val="32"/>
        </w:rPr>
        <w:t>四、政府采购情况说明</w:t>
      </w:r>
    </w:p>
    <w:p w14:paraId="264675CF">
      <w:pPr>
        <w:widowControl/>
        <w:spacing w:line="330" w:lineRule="atLeas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采购经</w:t>
      </w:r>
      <w:r>
        <w:rPr>
          <w:rFonts w:hint="eastAsia" w:ascii="仿宋" w:hAnsi="仿宋" w:eastAsia="仿宋" w:cs="仿宋"/>
          <w:color w:val="000000"/>
          <w:kern w:val="0"/>
          <w:sz w:val="32"/>
          <w:szCs w:val="32"/>
          <w:highlight w:val="none"/>
          <w:lang w:val="en-US" w:eastAsia="zh-CN"/>
        </w:rPr>
        <w:t>费493.36万元。</w:t>
      </w:r>
    </w:p>
    <w:p w14:paraId="01CB0426">
      <w:pPr>
        <w:widowControl/>
        <w:spacing w:line="330" w:lineRule="atLeas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五、政府性基金收支预算情况</w:t>
      </w:r>
    </w:p>
    <w:p w14:paraId="5CA9FEA7">
      <w:pPr>
        <w:spacing w:line="33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无政府性基金预算收支。</w:t>
      </w:r>
    </w:p>
    <w:p w14:paraId="5D6125B4">
      <w:pPr>
        <w:spacing w:line="330" w:lineRule="atLeas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六、国有资产占有使用情况说明</w:t>
      </w:r>
    </w:p>
    <w:p w14:paraId="1ACAEB76">
      <w:pPr>
        <w:spacing w:line="330" w:lineRule="atLeas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rPr>
        <w:t>国有资产占有使用情况说</w:t>
      </w:r>
      <w:r>
        <w:rPr>
          <w:rFonts w:hint="eastAsia" w:ascii="仿宋" w:hAnsi="仿宋" w:eastAsia="仿宋" w:cs="仿宋"/>
          <w:kern w:val="0"/>
          <w:sz w:val="32"/>
          <w:szCs w:val="32"/>
          <w:highlight w:val="none"/>
        </w:rPr>
        <w:t>明为：截至202</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年12月31日，部门（单位）共有车辆0辆；单位价值50万元（含）以上通用设备</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台（套）；单位价值100万元以上专用设备0台（套）。</w:t>
      </w:r>
    </w:p>
    <w:p w14:paraId="48113844">
      <w:pPr>
        <w:widowControl/>
        <w:spacing w:line="330" w:lineRule="atLeast"/>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七、预算绩效管理情况</w:t>
      </w:r>
    </w:p>
    <w:p w14:paraId="1229B592">
      <w:pPr>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202</w:t>
      </w: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年，按照“先有绩效，后有预算”原则，本部门共计编制绩效目标</w:t>
      </w:r>
      <w:r>
        <w:rPr>
          <w:rFonts w:hint="eastAsia" w:ascii="仿宋" w:hAnsi="仿宋" w:eastAsia="仿宋" w:cs="仿宋"/>
          <w:kern w:val="0"/>
          <w:sz w:val="32"/>
          <w:szCs w:val="32"/>
          <w:highlight w:val="none"/>
          <w:lang w:val="en-US" w:eastAsia="zh-CN"/>
        </w:rPr>
        <w:t>8</w:t>
      </w:r>
      <w:r>
        <w:rPr>
          <w:rFonts w:hint="eastAsia" w:ascii="仿宋" w:hAnsi="仿宋" w:eastAsia="仿宋" w:cs="仿宋"/>
          <w:kern w:val="0"/>
          <w:sz w:val="32"/>
          <w:szCs w:val="32"/>
          <w:highlight w:val="none"/>
        </w:rPr>
        <w:t>个，预算金额</w:t>
      </w:r>
      <w:r>
        <w:rPr>
          <w:rFonts w:hint="eastAsia" w:ascii="仿宋" w:hAnsi="仿宋" w:eastAsia="仿宋" w:cs="仿宋"/>
          <w:kern w:val="0"/>
          <w:sz w:val="32"/>
          <w:szCs w:val="32"/>
          <w:highlight w:val="none"/>
          <w:lang w:val="en-US" w:eastAsia="zh-CN"/>
        </w:rPr>
        <w:t>21005.28</w:t>
      </w:r>
      <w:r>
        <w:rPr>
          <w:rFonts w:hint="eastAsia" w:ascii="仿宋" w:hAnsi="仿宋" w:eastAsia="仿宋" w:cs="仿宋"/>
          <w:kern w:val="0"/>
          <w:sz w:val="32"/>
          <w:szCs w:val="32"/>
          <w:highlight w:val="none"/>
        </w:rPr>
        <w:t>万元，占项目支出预算比重</w:t>
      </w:r>
      <w:r>
        <w:rPr>
          <w:rFonts w:hint="eastAsia" w:ascii="仿宋" w:hAnsi="仿宋" w:eastAsia="仿宋" w:cs="仿宋"/>
          <w:kern w:val="0"/>
          <w:sz w:val="32"/>
          <w:szCs w:val="32"/>
          <w:highlight w:val="none"/>
          <w:lang w:val="en-US" w:eastAsia="zh-CN"/>
        </w:rPr>
        <w:t>100</w:t>
      </w:r>
      <w:r>
        <w:rPr>
          <w:rFonts w:hint="eastAsia" w:ascii="仿宋" w:hAnsi="仿宋" w:eastAsia="仿宋" w:cs="仿宋"/>
          <w:kern w:val="0"/>
          <w:sz w:val="32"/>
          <w:szCs w:val="32"/>
          <w:highlight w:val="none"/>
        </w:rPr>
        <w:t>%。</w:t>
      </w:r>
    </w:p>
    <w:p w14:paraId="5FED0416">
      <w:pPr>
        <w:widowControl/>
        <w:spacing w:line="330" w:lineRule="atLeast"/>
        <w:ind w:firstLine="640" w:firstLineChars="200"/>
        <w:jc w:val="left"/>
        <w:rPr>
          <w:rFonts w:hint="eastAsia" w:ascii="黑体" w:hAnsi="黑体" w:eastAsia="黑体" w:cs="黑体"/>
          <w:color w:val="000000"/>
          <w:kern w:val="0"/>
          <w:sz w:val="32"/>
          <w:szCs w:val="32"/>
          <w:highlight w:val="none"/>
        </w:rPr>
      </w:pPr>
      <w:r>
        <w:rPr>
          <w:rFonts w:hint="eastAsia" w:ascii="黑体" w:hAnsi="黑体" w:eastAsia="黑体" w:cs="黑体"/>
          <w:color w:val="000000"/>
          <w:sz w:val="32"/>
          <w:szCs w:val="32"/>
          <w:highlight w:val="none"/>
        </w:rPr>
        <w:t>八、</w:t>
      </w:r>
      <w:r>
        <w:rPr>
          <w:rFonts w:hint="eastAsia" w:ascii="黑体" w:hAnsi="黑体" w:eastAsia="黑体" w:cs="黑体"/>
          <w:color w:val="000000"/>
          <w:kern w:val="0"/>
          <w:sz w:val="32"/>
          <w:szCs w:val="32"/>
          <w:highlight w:val="none"/>
        </w:rPr>
        <w:t>科技局委托服务经费</w:t>
      </w:r>
      <w:r>
        <w:rPr>
          <w:rFonts w:hint="eastAsia" w:ascii="黑体" w:hAnsi="黑体" w:eastAsia="黑体" w:cs="黑体"/>
          <w:color w:val="000000"/>
          <w:kern w:val="0"/>
          <w:sz w:val="32"/>
          <w:szCs w:val="32"/>
          <w:highlight w:val="none"/>
          <w:lang w:val="en-US" w:eastAsia="zh-CN"/>
        </w:rPr>
        <w:t>情况</w:t>
      </w:r>
      <w:r>
        <w:rPr>
          <w:rFonts w:hint="eastAsia" w:ascii="黑体" w:hAnsi="黑体" w:eastAsia="黑体" w:cs="黑体"/>
          <w:color w:val="000000"/>
          <w:kern w:val="0"/>
          <w:sz w:val="32"/>
          <w:szCs w:val="32"/>
          <w:highlight w:val="none"/>
          <w:lang w:eastAsia="zh-CN"/>
        </w:rPr>
        <w:t>（</w:t>
      </w:r>
      <w:r>
        <w:rPr>
          <w:rFonts w:hint="eastAsia" w:ascii="黑体" w:hAnsi="黑体" w:eastAsia="黑体" w:cs="黑体"/>
          <w:color w:val="000000"/>
          <w:kern w:val="0"/>
          <w:sz w:val="32"/>
          <w:szCs w:val="32"/>
          <w:highlight w:val="none"/>
        </w:rPr>
        <w:t>202</w:t>
      </w:r>
      <w:r>
        <w:rPr>
          <w:rFonts w:hint="eastAsia" w:ascii="黑体" w:hAnsi="黑体" w:eastAsia="黑体" w:cs="黑体"/>
          <w:color w:val="000000"/>
          <w:kern w:val="0"/>
          <w:sz w:val="32"/>
          <w:szCs w:val="32"/>
          <w:highlight w:val="none"/>
          <w:lang w:val="en-US" w:eastAsia="zh-CN"/>
        </w:rPr>
        <w:t>4</w:t>
      </w:r>
      <w:r>
        <w:rPr>
          <w:rFonts w:hint="eastAsia" w:ascii="黑体" w:hAnsi="黑体" w:eastAsia="黑体" w:cs="黑体"/>
          <w:color w:val="000000"/>
          <w:kern w:val="0"/>
          <w:sz w:val="32"/>
          <w:szCs w:val="32"/>
          <w:highlight w:val="none"/>
        </w:rPr>
        <w:t>年科技统计第三方服务项目</w:t>
      </w:r>
      <w:r>
        <w:rPr>
          <w:rFonts w:hint="eastAsia" w:ascii="黑体" w:hAnsi="黑体" w:eastAsia="黑体" w:cs="黑体"/>
          <w:color w:val="000000"/>
          <w:kern w:val="0"/>
          <w:sz w:val="32"/>
          <w:szCs w:val="32"/>
          <w:highlight w:val="none"/>
          <w:lang w:eastAsia="zh-CN"/>
        </w:rPr>
        <w:t>）</w:t>
      </w:r>
    </w:p>
    <w:p w14:paraId="42AB46C4">
      <w:pPr>
        <w:ind w:firstLine="640" w:firstLineChars="200"/>
        <w:rPr>
          <w:rFonts w:hint="eastAsia" w:ascii="仿宋" w:hAnsi="仿宋" w:eastAsia="仿宋" w:cs="仿宋"/>
          <w:color w:val="000000"/>
          <w:kern w:val="0"/>
          <w:sz w:val="32"/>
          <w:szCs w:val="32"/>
        </w:rPr>
      </w:pPr>
      <w:bookmarkStart w:id="5" w:name="OLE_LINK10"/>
      <w:r>
        <w:rPr>
          <w:rFonts w:hint="eastAsia" w:ascii="仿宋" w:hAnsi="仿宋" w:eastAsia="仿宋" w:cs="仿宋"/>
          <w:color w:val="000000"/>
          <w:kern w:val="0"/>
          <w:sz w:val="32"/>
          <w:szCs w:val="32"/>
        </w:rPr>
        <w:t>1.项目概述</w:t>
      </w:r>
    </w:p>
    <w:p w14:paraId="1FF017D3">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年科技统计第三方服务费用专项资金是科技创新局为有效开展202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高新区火炬统计、研发投入统计、省科技厅科技统计等各项统计工作，聘请优质第三方服务机构完成各项统计任务所使用的财政资金，主要包括报表催报费、培训费、数据审核费、模型搭建费、数据分析费、耗材费等。年度目标是在规定时限内完成火炬中心部署的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年各项科技统计工作任务，推进在高新区综合评价以及全省高新区高质量发展评价的“进位争先”。</w:t>
      </w:r>
    </w:p>
    <w:p w14:paraId="71157F8C">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2.立项依据</w:t>
      </w:r>
    </w:p>
    <w:p w14:paraId="1FCD4680">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依据《关于开展202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年度火炬统计调查工作的通知》</w:t>
      </w:r>
      <w:r>
        <w:rPr>
          <w:rFonts w:hint="eastAsia" w:ascii="仿宋" w:hAnsi="仿宋" w:eastAsia="仿宋" w:cs="仿宋"/>
          <w:color w:val="000000"/>
          <w:kern w:val="0"/>
          <w:sz w:val="32"/>
          <w:szCs w:val="32"/>
          <w:lang w:eastAsia="zh-CN"/>
        </w:rPr>
        <w:t>（火炬</w:t>
      </w:r>
      <w:r>
        <w:rPr>
          <w:rFonts w:hint="eastAsia" w:ascii="仿宋" w:hAnsi="仿宋" w:eastAsia="仿宋" w:cs="仿宋"/>
          <w:color w:val="000000"/>
          <w:kern w:val="0"/>
          <w:sz w:val="32"/>
          <w:szCs w:val="32"/>
          <w:lang w:val="en-US" w:eastAsia="zh-CN"/>
        </w:rPr>
        <w:t>[2024]41号</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，按照委领导的批示精神，结合科技创新局的工作职责，项目的实施将对切实做好202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年科技统计工作提供必要的专业统计人员、数据分析、指标预测等方面支持，将对完成各项统计任务发挥支撑作用。</w:t>
      </w:r>
    </w:p>
    <w:p w14:paraId="78ABDDE6">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3.实施主体</w:t>
      </w:r>
    </w:p>
    <w:p w14:paraId="7BDC05A6">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项目具体组织实施的部门为高新区科技创新局。</w:t>
      </w:r>
    </w:p>
    <w:p w14:paraId="3C3708B6">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4.实施方案</w:t>
      </w:r>
    </w:p>
    <w:p w14:paraId="66B5B8C3">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项目的实施是按照《关于开展202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度火炬统计调查工作的通知》要求，开展高新区火炬统计范围内所有高新技术企业、科技型企业、规模以上工业企业、规模以上服务业企业、所有境内外上市企业以及部分具备一定科技含量的建筑类企业的综合统计工作。通过委托第三方服务机构对纳入统计的企业进行统计培训、组织申报、数据审核等工作。同时，依据《国家高新技术产业开发区综合评价指标体系》，构建指标评价模型，从专业角度对年度企业上报数据和高新区发展综合数据分析研究，查找发展短板，指导开展“进位争先”工作。</w:t>
      </w:r>
    </w:p>
    <w:p w14:paraId="677BC83C">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步骤和计划</w:t>
      </w:r>
    </w:p>
    <w:p w14:paraId="42E87C1C">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（1）制定工作安排</w:t>
      </w:r>
    </w:p>
    <w:p w14:paraId="16F2F7CC">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按照科技部火炬中心明确的年度火炬统计工作时限和具体工作任务制定详细的工作计划，按时间节点稳步推进，确保年度各项工作有条不紊地开展。</w:t>
      </w:r>
    </w:p>
    <w:p w14:paraId="2DF718C1">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（2）规范资金预算编制及使用</w:t>
      </w:r>
    </w:p>
    <w:p w14:paraId="4A5619F4">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一是严格按照部门申请、财政审核的程序，填报专项资金预算表、专项资金绩效目标表，明确申请项目的内容和金额、实施方案、绩效目标等。</w:t>
      </w:r>
    </w:p>
    <w:p w14:paraId="38230124">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二是实行专款专用，明确专项资金期限，对于功能弱化、绩效不佳的专项资金，要及时予以调整或取消。</w:t>
      </w:r>
    </w:p>
    <w:p w14:paraId="7BCD825B">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（3）组织项目实施</w:t>
      </w:r>
    </w:p>
    <w:p w14:paraId="1D67BA31">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按照指定的工作计划，推动各项工作开展。</w:t>
      </w:r>
    </w:p>
    <w:p w14:paraId="2867490C">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5.实施周期</w:t>
      </w:r>
    </w:p>
    <w:p w14:paraId="739FEBA2">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项目起止时间为202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年1</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月到202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月。</w:t>
      </w:r>
    </w:p>
    <w:p w14:paraId="1AF384CB">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6.年度预算安排</w:t>
      </w:r>
    </w:p>
    <w:p w14:paraId="058E0BB0">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年拟安排该项目一般公共预算10</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7252</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2024年合同全款75.518万元及2025年合同一期款30.2072万元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 xml:space="preserve">。   </w:t>
      </w:r>
    </w:p>
    <w:bookmarkEnd w:id="5"/>
    <w:p w14:paraId="7D9387BB"/>
    <w:p w14:paraId="5604EC1D">
      <w:pPr>
        <w:widowControl/>
        <w:spacing w:line="330" w:lineRule="atLeast"/>
        <w:ind w:firstLine="643" w:firstLineChars="200"/>
        <w:jc w:val="left"/>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第三部分 名词解释</w:t>
      </w:r>
    </w:p>
    <w:p w14:paraId="4409EDD0">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1.</w:t>
      </w:r>
      <w:r>
        <w:rPr>
          <w:rFonts w:hint="eastAsia" w:ascii="仿宋" w:hAnsi="仿宋" w:eastAsia="仿宋" w:cs="仿宋"/>
          <w:color w:val="000000"/>
          <w:kern w:val="0"/>
          <w:sz w:val="30"/>
          <w:szCs w:val="30"/>
          <w:highlight w:val="none"/>
        </w:rPr>
        <w:t>财政拨款收入：指市财政当年拨付的资金。</w:t>
      </w:r>
    </w:p>
    <w:p w14:paraId="1ECD3402">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2.</w:t>
      </w:r>
      <w:r>
        <w:rPr>
          <w:rFonts w:hint="eastAsia" w:ascii="仿宋" w:hAnsi="仿宋" w:eastAsia="仿宋" w:cs="仿宋"/>
          <w:color w:val="000000"/>
          <w:kern w:val="0"/>
          <w:sz w:val="30"/>
          <w:szCs w:val="30"/>
          <w:highlight w:val="none"/>
        </w:rPr>
        <w:t>其他收入：指除“财政拨款收入”、“财政专户拨款收入”等以外的收入，包括事业单位经营性收入、上级补助收入、附属单位上缴收入等。</w:t>
      </w:r>
    </w:p>
    <w:p w14:paraId="4C0DBD30">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3.</w:t>
      </w:r>
      <w:r>
        <w:rPr>
          <w:rFonts w:hint="eastAsia" w:ascii="仿宋" w:hAnsi="仿宋" w:eastAsia="仿宋" w:cs="仿宋"/>
          <w:color w:val="000000"/>
          <w:kern w:val="0"/>
          <w:sz w:val="30"/>
          <w:szCs w:val="30"/>
          <w:highlight w:val="none"/>
        </w:rPr>
        <w:t>基本支出：指为保障机构正常运转、完成日常工作任务而发生的人员支出和公用支出。</w:t>
      </w:r>
    </w:p>
    <w:p w14:paraId="0CFC9FC1">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4.</w:t>
      </w:r>
      <w:r>
        <w:rPr>
          <w:rFonts w:hint="eastAsia" w:ascii="仿宋" w:hAnsi="仿宋" w:eastAsia="仿宋" w:cs="仿宋"/>
          <w:color w:val="000000"/>
          <w:kern w:val="0"/>
          <w:sz w:val="30"/>
          <w:szCs w:val="30"/>
          <w:highlight w:val="none"/>
        </w:rPr>
        <w:t>项目支出：指在基本支出之外为完成特定行政任务和事业发展目标所发生的支出。</w:t>
      </w:r>
    </w:p>
    <w:p w14:paraId="2F1DBFAC">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5.</w:t>
      </w:r>
      <w:r>
        <w:rPr>
          <w:rFonts w:hint="eastAsia" w:ascii="仿宋" w:hAnsi="仿宋" w:eastAsia="仿宋" w:cs="仿宋"/>
          <w:color w:val="000000"/>
          <w:kern w:val="0"/>
          <w:sz w:val="30"/>
          <w:szCs w:val="30"/>
          <w:highlight w:val="none"/>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2AE6721">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6.</w:t>
      </w:r>
      <w:r>
        <w:rPr>
          <w:rFonts w:hint="eastAsia" w:ascii="仿宋" w:hAnsi="仿宋" w:eastAsia="仿宋" w:cs="仿宋"/>
          <w:color w:val="000000"/>
          <w:kern w:val="0"/>
          <w:sz w:val="30"/>
          <w:szCs w:val="30"/>
          <w:highlight w:val="none"/>
        </w:rPr>
        <w:t>一般公共服务（类）财政事务（款）行政运行（项）：反映行政单位（包括实行公务员管理的事业单位）的基本支出。</w:t>
      </w:r>
    </w:p>
    <w:p w14:paraId="37619CDB">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7.</w:t>
      </w:r>
      <w:r>
        <w:rPr>
          <w:rFonts w:hint="eastAsia" w:ascii="仿宋" w:hAnsi="仿宋" w:eastAsia="仿宋" w:cs="仿宋"/>
          <w:color w:val="000000"/>
          <w:kern w:val="0"/>
          <w:sz w:val="30"/>
          <w:szCs w:val="30"/>
          <w:highlight w:val="none"/>
        </w:rPr>
        <w:t>一般公共服务（类）财政事务（款）一般行政管理事务（项）：反映行政单位（包括实行公务员管理的事业单位）未单独设置项级科目的其他项目支出。</w:t>
      </w:r>
    </w:p>
    <w:p w14:paraId="3CD7E610">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8</w:t>
      </w:r>
      <w:r>
        <w:rPr>
          <w:rFonts w:hint="eastAsia" w:ascii="仿宋" w:hAnsi="仿宋" w:eastAsia="仿宋" w:cs="仿宋"/>
          <w:color w:val="000000"/>
          <w:kern w:val="0"/>
          <w:sz w:val="30"/>
          <w:szCs w:val="30"/>
          <w:highlight w:val="none"/>
        </w:rPr>
        <w:t>一般公共服务（类）财政事务（款）信息化建设（项）：反映财政部门用于“金财工程”等信息化建设方面的支出。</w:t>
      </w:r>
    </w:p>
    <w:p w14:paraId="696DE3C8">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9.</w:t>
      </w:r>
      <w:r>
        <w:rPr>
          <w:rFonts w:hint="eastAsia" w:ascii="仿宋" w:hAnsi="仿宋" w:eastAsia="仿宋" w:cs="仿宋"/>
          <w:color w:val="000000"/>
          <w:kern w:val="0"/>
          <w:sz w:val="30"/>
          <w:szCs w:val="30"/>
          <w:highlight w:val="none"/>
        </w:rPr>
        <w:t>一般公共服务（类）财政事务（款）财政委托业务支出（项）：反映财政委托评审机构进行财政投资评审和委托建设银行等机构代理业务发生的支出。</w:t>
      </w:r>
    </w:p>
    <w:p w14:paraId="6BB61BEB">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 xml:space="preserve">10. </w:t>
      </w:r>
      <w:r>
        <w:rPr>
          <w:rFonts w:hint="eastAsia" w:ascii="仿宋" w:hAnsi="仿宋" w:eastAsia="仿宋" w:cs="仿宋"/>
          <w:color w:val="000000"/>
          <w:kern w:val="0"/>
          <w:sz w:val="30"/>
          <w:szCs w:val="30"/>
          <w:highlight w:val="none"/>
        </w:rPr>
        <w:t>一般公共服务（类）财政事务（款）事业运行（项）：反映事业单位的基本支出，不包括行政单位（包括实行公务员管理的事业单位）后勤服务中心、医务室等附属事业单位。</w:t>
      </w:r>
    </w:p>
    <w:p w14:paraId="5369A256">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 xml:space="preserve">11. </w:t>
      </w:r>
      <w:r>
        <w:rPr>
          <w:rFonts w:hint="eastAsia" w:ascii="仿宋" w:hAnsi="仿宋" w:eastAsia="仿宋" w:cs="仿宋"/>
          <w:color w:val="000000"/>
          <w:kern w:val="0"/>
          <w:sz w:val="30"/>
          <w:szCs w:val="30"/>
          <w:highlight w:val="none"/>
        </w:rPr>
        <w:t>一般公共服务（类）财政事务（款）其他财政事务支出（项）：反映其他财政事务方面的支出。</w:t>
      </w:r>
    </w:p>
    <w:p w14:paraId="7BA8144E">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12</w:t>
      </w:r>
      <w:r>
        <w:rPr>
          <w:rFonts w:hint="eastAsia" w:ascii="仿宋" w:hAnsi="仿宋" w:eastAsia="仿宋" w:cs="仿宋"/>
          <w:color w:val="000000"/>
          <w:kern w:val="0"/>
          <w:sz w:val="30"/>
          <w:szCs w:val="30"/>
          <w:highlight w:val="none"/>
        </w:rPr>
        <w:t>．教育支出（类）其他教育支出（款）其他教育支出（项）：反映其他用于教育方面的支出。</w:t>
      </w:r>
    </w:p>
    <w:p w14:paraId="75D4E763">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 xml:space="preserve">13. </w:t>
      </w:r>
      <w:r>
        <w:rPr>
          <w:rFonts w:hint="eastAsia" w:ascii="仿宋" w:hAnsi="仿宋" w:eastAsia="仿宋" w:cs="仿宋"/>
          <w:color w:val="000000"/>
          <w:kern w:val="0"/>
          <w:sz w:val="30"/>
          <w:szCs w:val="30"/>
          <w:highlight w:val="none"/>
        </w:rPr>
        <w:t>社会保障和就业（类）行政事业单位离退休（款）归口管理的行政单位离退休（项）：反映实行归口管理的行政单位（包括实行公务员管理的事业单位）开支的离退休经费。</w:t>
      </w:r>
    </w:p>
    <w:p w14:paraId="4F912BBF">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 xml:space="preserve">14. </w:t>
      </w:r>
      <w:r>
        <w:rPr>
          <w:rFonts w:hint="eastAsia" w:ascii="仿宋" w:hAnsi="仿宋" w:eastAsia="仿宋" w:cs="仿宋"/>
          <w:color w:val="000000"/>
          <w:kern w:val="0"/>
          <w:sz w:val="30"/>
          <w:szCs w:val="30"/>
          <w:highlight w:val="none"/>
        </w:rPr>
        <w:t>社会保障和就业（类）行政事业单位离退休（款）机关事业单位基本养老保险缴费支出（项）：反映机关事业单位实施养老保险制度由单位缴纳的基本养老保险费支出。</w:t>
      </w:r>
    </w:p>
    <w:p w14:paraId="28672761">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15.</w:t>
      </w:r>
      <w:r>
        <w:rPr>
          <w:rFonts w:hint="eastAsia" w:ascii="仿宋" w:hAnsi="仿宋" w:eastAsia="仿宋" w:cs="仿宋"/>
          <w:color w:val="000000"/>
          <w:kern w:val="0"/>
          <w:sz w:val="30"/>
          <w:szCs w:val="30"/>
          <w:highlight w:val="none"/>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7942EF6">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16.</w:t>
      </w:r>
      <w:r>
        <w:rPr>
          <w:rFonts w:hint="eastAsia" w:ascii="仿宋" w:hAnsi="仿宋" w:eastAsia="仿宋" w:cs="仿宋"/>
          <w:color w:val="000000"/>
          <w:kern w:val="0"/>
          <w:sz w:val="30"/>
          <w:szCs w:val="30"/>
          <w:highlight w:val="none"/>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74DA034B">
      <w:pPr>
        <w:widowControl/>
        <w:spacing w:line="330" w:lineRule="atLeast"/>
        <w:ind w:firstLine="600" w:firstLineChars="200"/>
        <w:jc w:val="left"/>
        <w:rPr>
          <w:rFonts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17.</w:t>
      </w:r>
      <w:r>
        <w:rPr>
          <w:rFonts w:hint="eastAsia" w:ascii="仿宋" w:hAnsi="仿宋" w:eastAsia="仿宋" w:cs="仿宋"/>
          <w:color w:val="000000"/>
          <w:kern w:val="0"/>
          <w:sz w:val="30"/>
          <w:szCs w:val="30"/>
          <w:highlight w:val="none"/>
        </w:rPr>
        <w:t>住房保障（类）住房改革（款）住房公积金（项）：反映行政事业单位按人力资源和社会保障部、财政部规定的基本工资和津贴补贴以及规定比例为职工缴纳的住房公积金。</w:t>
      </w:r>
    </w:p>
    <w:p w14:paraId="121D7F8C">
      <w:pPr>
        <w:widowControl/>
        <w:spacing w:line="330" w:lineRule="atLeast"/>
        <w:ind w:firstLine="600" w:firstLineChars="200"/>
        <w:jc w:val="left"/>
        <w:rPr>
          <w:rFonts w:hint="eastAsia" w:ascii="仿宋" w:hAnsi="仿宋" w:eastAsia="仿宋" w:cs="仿宋"/>
          <w:color w:val="000000"/>
          <w:kern w:val="0"/>
          <w:sz w:val="30"/>
          <w:szCs w:val="30"/>
          <w:highlight w:val="none"/>
        </w:rPr>
      </w:pPr>
      <w:r>
        <w:rPr>
          <w:rFonts w:ascii="仿宋" w:hAnsi="仿宋" w:eastAsia="仿宋" w:cs="仿宋"/>
          <w:color w:val="000000"/>
          <w:kern w:val="0"/>
          <w:sz w:val="30"/>
          <w:szCs w:val="30"/>
          <w:highlight w:val="none"/>
        </w:rPr>
        <w:t>18.</w:t>
      </w:r>
      <w:r>
        <w:rPr>
          <w:rFonts w:hint="eastAsia" w:ascii="仿宋" w:hAnsi="仿宋" w:eastAsia="仿宋" w:cs="仿宋"/>
          <w:color w:val="000000"/>
          <w:kern w:val="0"/>
          <w:sz w:val="30"/>
          <w:szCs w:val="30"/>
          <w:highlight w:val="none"/>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0F19975E">
      <w:pPr>
        <w:widowControl/>
        <w:spacing w:line="330" w:lineRule="atLeast"/>
        <w:jc w:val="left"/>
        <w:rPr>
          <w:rFonts w:hint="eastAsia" w:ascii="仿宋" w:hAnsi="仿宋" w:eastAsia="仿宋" w:cs="仿宋"/>
          <w:color w:val="000000"/>
          <w:kern w:val="0"/>
          <w:sz w:val="30"/>
          <w:szCs w:val="30"/>
          <w:highlight w:val="none"/>
        </w:rPr>
      </w:pPr>
    </w:p>
    <w:p w14:paraId="60C5E05F">
      <w:pPr>
        <w:widowControl/>
        <w:spacing w:line="330" w:lineRule="atLeast"/>
        <w:ind w:firstLine="600" w:firstLineChars="200"/>
        <w:jc w:val="left"/>
        <w:rPr>
          <w:rFonts w:hint="eastAsia" w:ascii="仿宋" w:hAnsi="仿宋" w:eastAsia="仿宋" w:cs="仿宋"/>
          <w:color w:val="000000"/>
          <w:kern w:val="0"/>
          <w:sz w:val="30"/>
          <w:szCs w:val="30"/>
          <w:highlight w:val="none"/>
        </w:rPr>
      </w:pPr>
    </w:p>
    <w:p w14:paraId="3B9E4EC7">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24</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日</w:t>
      </w:r>
    </w:p>
    <w:p w14:paraId="5003899F">
      <w:pPr>
        <w:widowControl/>
        <w:spacing w:line="330" w:lineRule="atLeast"/>
        <w:ind w:firstLine="640" w:firstLineChars="200"/>
        <w:jc w:val="left"/>
        <w:rPr>
          <w:rFonts w:ascii="仿宋" w:hAnsi="仿宋" w:eastAsia="仿宋" w:cs="仿宋"/>
          <w:color w:val="000000"/>
          <w:kern w:val="0"/>
          <w:sz w:val="32"/>
          <w:szCs w:val="32"/>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61C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742EC00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0017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DD021C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4062E0E"/>
    <w:rsid w:val="048C2A13"/>
    <w:rsid w:val="05F6205B"/>
    <w:rsid w:val="06AF243B"/>
    <w:rsid w:val="06BE02C2"/>
    <w:rsid w:val="07424CE5"/>
    <w:rsid w:val="07D90423"/>
    <w:rsid w:val="0BC323D5"/>
    <w:rsid w:val="0C853BB3"/>
    <w:rsid w:val="0D520684"/>
    <w:rsid w:val="0E6A46D2"/>
    <w:rsid w:val="16F479B2"/>
    <w:rsid w:val="19411027"/>
    <w:rsid w:val="1E0D3174"/>
    <w:rsid w:val="1F841FD6"/>
    <w:rsid w:val="1FEB468B"/>
    <w:rsid w:val="21D96333"/>
    <w:rsid w:val="23B3636A"/>
    <w:rsid w:val="242C3C7F"/>
    <w:rsid w:val="287A0545"/>
    <w:rsid w:val="2D65543B"/>
    <w:rsid w:val="32D52C1B"/>
    <w:rsid w:val="3316368B"/>
    <w:rsid w:val="38130D44"/>
    <w:rsid w:val="3A534A9C"/>
    <w:rsid w:val="3B477C8D"/>
    <w:rsid w:val="3C971C89"/>
    <w:rsid w:val="3D9A2A0F"/>
    <w:rsid w:val="3F0F51F5"/>
    <w:rsid w:val="3FCD5C7A"/>
    <w:rsid w:val="40435681"/>
    <w:rsid w:val="41CD52BD"/>
    <w:rsid w:val="42AD1862"/>
    <w:rsid w:val="46D6135B"/>
    <w:rsid w:val="471338C7"/>
    <w:rsid w:val="47204D61"/>
    <w:rsid w:val="48B4226E"/>
    <w:rsid w:val="498B571A"/>
    <w:rsid w:val="4AE11787"/>
    <w:rsid w:val="4CC1394A"/>
    <w:rsid w:val="4DF00C86"/>
    <w:rsid w:val="4FBD6BD3"/>
    <w:rsid w:val="521B1DCC"/>
    <w:rsid w:val="55A6769E"/>
    <w:rsid w:val="56271448"/>
    <w:rsid w:val="57EF2D6C"/>
    <w:rsid w:val="595E61AF"/>
    <w:rsid w:val="5C55576E"/>
    <w:rsid w:val="6641166C"/>
    <w:rsid w:val="68B75B7F"/>
    <w:rsid w:val="6EA819B6"/>
    <w:rsid w:val="70A354B0"/>
    <w:rsid w:val="74967173"/>
    <w:rsid w:val="76E50B66"/>
    <w:rsid w:val="78F94EB9"/>
    <w:rsid w:val="79360C41"/>
    <w:rsid w:val="7AE74C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3904</Words>
  <Characters>4091</Characters>
  <Lines>4</Lines>
  <Paragraphs>1</Paragraphs>
  <TotalTime>6</TotalTime>
  <ScaleCrop>false</ScaleCrop>
  <LinksUpToDate>false</LinksUpToDate>
  <CharactersWithSpaces>4361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2025-02-14T02:51:00Z</cp:lastPrinted>
  <dcterms:modified xsi:type="dcterms:W3CDTF">2025-12-25T07:34:43Z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